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B" w:rsidRPr="00C7385F" w:rsidRDefault="009D4D54" w:rsidP="00605F09">
      <w:pPr>
        <w:rPr>
          <w:b/>
        </w:rPr>
      </w:pPr>
      <w:r w:rsidRPr="00C7385F">
        <w:rPr>
          <w:b/>
        </w:rPr>
        <w:t>Cập nhật toàn bộ văn bản về thuế trong thời gian gần đây</w:t>
      </w:r>
    </w:p>
    <w:p w:rsidR="009D4D54" w:rsidRPr="00605F09" w:rsidRDefault="009D4D54" w:rsidP="00605F09">
      <w:r w:rsidRPr="00605F09">
        <w:t xml:space="preserve">Đã có nhiều văn bản liên quan đến thuế và các chính sách hỗ trợ về thuế được ban hành. </w:t>
      </w:r>
      <w:proofErr w:type="gramStart"/>
      <w:r w:rsidRPr="00605F09">
        <w:t>Dưới đây là cập nhật toàn bộ văn bản về thuế trong thời gian gần đây.</w:t>
      </w:r>
      <w:proofErr w:type="gramEnd"/>
    </w:p>
    <w:tbl>
      <w:tblPr>
        <w:tblStyle w:val="TableGrid"/>
        <w:tblW w:w="0" w:type="auto"/>
        <w:tblLook w:val="04A0"/>
      </w:tblPr>
      <w:tblGrid>
        <w:gridCol w:w="828"/>
        <w:gridCol w:w="2520"/>
        <w:gridCol w:w="6228"/>
      </w:tblGrid>
      <w:tr w:rsidR="009D4D54" w:rsidRPr="00605F09" w:rsidTr="00605F09">
        <w:tc>
          <w:tcPr>
            <w:tcW w:w="828" w:type="dxa"/>
            <w:vAlign w:val="center"/>
          </w:tcPr>
          <w:p w:rsidR="009D4D54" w:rsidRPr="00605F09" w:rsidRDefault="009D4D54" w:rsidP="00605F09">
            <w:pPr>
              <w:jc w:val="center"/>
            </w:pPr>
            <w:r w:rsidRPr="00605F09">
              <w:t>STT</w:t>
            </w:r>
          </w:p>
        </w:tc>
        <w:tc>
          <w:tcPr>
            <w:tcW w:w="2520" w:type="dxa"/>
            <w:vAlign w:val="center"/>
          </w:tcPr>
          <w:p w:rsidR="009D4D54" w:rsidRPr="00605F09" w:rsidRDefault="009D4D54" w:rsidP="00605F09">
            <w:pPr>
              <w:jc w:val="center"/>
            </w:pPr>
            <w:r w:rsidRPr="00605F09">
              <w:t>Ngày ban hành</w:t>
            </w:r>
          </w:p>
        </w:tc>
        <w:tc>
          <w:tcPr>
            <w:tcW w:w="6228" w:type="dxa"/>
            <w:vAlign w:val="center"/>
          </w:tcPr>
          <w:p w:rsidR="009D4D54" w:rsidRPr="00605F09" w:rsidRDefault="009D4D54" w:rsidP="00605F09">
            <w:pPr>
              <w:jc w:val="center"/>
            </w:pPr>
            <w:r w:rsidRPr="00605F09">
              <w:t>Tên văn bản</w:t>
            </w:r>
          </w:p>
        </w:tc>
      </w:tr>
      <w:tr w:rsidR="009D4D54" w:rsidRPr="00605F09" w:rsidTr="000D35A3">
        <w:trPr>
          <w:trHeight w:val="1664"/>
        </w:trPr>
        <w:tc>
          <w:tcPr>
            <w:tcW w:w="828" w:type="dxa"/>
            <w:vAlign w:val="center"/>
          </w:tcPr>
          <w:p w:rsidR="009D4D54" w:rsidRPr="00605F09" w:rsidRDefault="009D4D54" w:rsidP="00605F09">
            <w:pPr>
              <w:jc w:val="center"/>
            </w:pPr>
            <w:r w:rsidRPr="00605F09">
              <w:t>1</w:t>
            </w:r>
          </w:p>
        </w:tc>
        <w:tc>
          <w:tcPr>
            <w:tcW w:w="2520" w:type="dxa"/>
            <w:vAlign w:val="center"/>
          </w:tcPr>
          <w:p w:rsidR="009D4D54" w:rsidRPr="00605F09" w:rsidRDefault="00BE5DF4" w:rsidP="00605F09">
            <w:pPr>
              <w:jc w:val="center"/>
            </w:pPr>
            <w:r w:rsidRPr="00605F09">
              <w:t>27/10/2021</w:t>
            </w:r>
          </w:p>
        </w:tc>
        <w:tc>
          <w:tcPr>
            <w:tcW w:w="6228" w:type="dxa"/>
          </w:tcPr>
          <w:p w:rsidR="009D4D54" w:rsidRPr="00605F09" w:rsidRDefault="00BE5DF4" w:rsidP="00605F09">
            <w:r w:rsidRPr="00605F09">
              <w:t>Nghị định số 92/2021/NĐ-CP của Chính phủ Quy định chi tiết thi hành Nghị quyết số 406/NQ-UBTVQH15 của Uỷ ban Thường vụ Quốc hội ban hành một số giải pháp nhằm hỗ trợ doanh nghiệp, người dân chịu tác động của dịch Covid-19</w:t>
            </w:r>
            <w:r w:rsidR="00C7385F">
              <w:t>.</w:t>
            </w:r>
          </w:p>
        </w:tc>
      </w:tr>
      <w:tr w:rsidR="00C7385F" w:rsidRPr="00605F09" w:rsidTr="000D35A3">
        <w:trPr>
          <w:trHeight w:val="1061"/>
        </w:trPr>
        <w:tc>
          <w:tcPr>
            <w:tcW w:w="828" w:type="dxa"/>
            <w:vAlign w:val="center"/>
          </w:tcPr>
          <w:p w:rsidR="00C7385F" w:rsidRPr="00605F09" w:rsidRDefault="00C7385F" w:rsidP="00605F09">
            <w:pPr>
              <w:jc w:val="center"/>
            </w:pPr>
            <w:r>
              <w:t>2</w:t>
            </w:r>
          </w:p>
        </w:tc>
        <w:tc>
          <w:tcPr>
            <w:tcW w:w="2520" w:type="dxa"/>
            <w:vAlign w:val="center"/>
          </w:tcPr>
          <w:p w:rsidR="00C7385F" w:rsidRPr="00605F09" w:rsidRDefault="00C7385F" w:rsidP="00605F09">
            <w:pPr>
              <w:jc w:val="center"/>
            </w:pPr>
            <w:r>
              <w:t>20/10/2021</w:t>
            </w:r>
          </w:p>
        </w:tc>
        <w:tc>
          <w:tcPr>
            <w:tcW w:w="6228" w:type="dxa"/>
          </w:tcPr>
          <w:p w:rsidR="00C7385F" w:rsidRPr="00605F09" w:rsidRDefault="00C7385F" w:rsidP="00605F09">
            <w:r>
              <w:t>Kế hoạch số 234/KH-UBND của UBND TP. Hà Nội về việc triển khai hóa đơn điện tử trên địa bàn Thành phố.</w:t>
            </w:r>
          </w:p>
        </w:tc>
      </w:tr>
      <w:tr w:rsidR="009D4D54" w:rsidRPr="00605F09" w:rsidTr="00C7385F">
        <w:trPr>
          <w:trHeight w:val="1340"/>
        </w:trPr>
        <w:tc>
          <w:tcPr>
            <w:tcW w:w="828" w:type="dxa"/>
            <w:vAlign w:val="center"/>
          </w:tcPr>
          <w:p w:rsidR="009D4D54" w:rsidRPr="00605F09" w:rsidRDefault="000D35A3" w:rsidP="00605F09">
            <w:pPr>
              <w:jc w:val="center"/>
            </w:pPr>
            <w:r>
              <w:t>3</w:t>
            </w:r>
          </w:p>
        </w:tc>
        <w:tc>
          <w:tcPr>
            <w:tcW w:w="2520" w:type="dxa"/>
            <w:vAlign w:val="center"/>
          </w:tcPr>
          <w:p w:rsidR="009D4D54" w:rsidRPr="00605F09" w:rsidRDefault="00BE5DF4" w:rsidP="00605F09">
            <w:pPr>
              <w:jc w:val="center"/>
            </w:pPr>
            <w:r w:rsidRPr="00605F09">
              <w:t>19/10/2021</w:t>
            </w:r>
          </w:p>
        </w:tc>
        <w:tc>
          <w:tcPr>
            <w:tcW w:w="6228" w:type="dxa"/>
          </w:tcPr>
          <w:p w:rsidR="009D4D54" w:rsidRPr="00605F09" w:rsidRDefault="00BE5DF4" w:rsidP="00605F09">
            <w:r w:rsidRPr="00605F09">
              <w:t>Nghị quyế</w:t>
            </w:r>
            <w:r w:rsidR="00605F09">
              <w:t>t số</w:t>
            </w:r>
            <w:r w:rsidRPr="00605F09">
              <w:t xml:space="preserve"> 406/NQ-UBTVQH15 của Uỷ ban Thường Vụ Quốc Hội về ban hành một số giải pháp nhằm hỗ trợ doanh nghiệp, người dân chịu tác động của dịch COVID-19.</w:t>
            </w:r>
          </w:p>
        </w:tc>
      </w:tr>
      <w:tr w:rsidR="00C7385F" w:rsidRPr="00605F09" w:rsidTr="000D35A3">
        <w:trPr>
          <w:trHeight w:val="989"/>
        </w:trPr>
        <w:tc>
          <w:tcPr>
            <w:tcW w:w="828" w:type="dxa"/>
            <w:vAlign w:val="center"/>
          </w:tcPr>
          <w:p w:rsidR="00C7385F" w:rsidRPr="00605F09" w:rsidRDefault="000D35A3" w:rsidP="00605F09">
            <w:pPr>
              <w:jc w:val="center"/>
            </w:pPr>
            <w:r>
              <w:t>4</w:t>
            </w:r>
          </w:p>
        </w:tc>
        <w:tc>
          <w:tcPr>
            <w:tcW w:w="2520" w:type="dxa"/>
            <w:vAlign w:val="center"/>
          </w:tcPr>
          <w:p w:rsidR="00C7385F" w:rsidRPr="00605F09" w:rsidRDefault="00C7385F" w:rsidP="00605F09">
            <w:pPr>
              <w:jc w:val="center"/>
            </w:pPr>
            <w:r>
              <w:t>08/10/2021</w:t>
            </w:r>
          </w:p>
        </w:tc>
        <w:tc>
          <w:tcPr>
            <w:tcW w:w="6228" w:type="dxa"/>
          </w:tcPr>
          <w:p w:rsidR="00C7385F" w:rsidRPr="00605F09" w:rsidRDefault="000D35A3" w:rsidP="00605F09">
            <w:r>
              <w:t xml:space="preserve">Thông </w:t>
            </w:r>
            <w:proofErr w:type="gramStart"/>
            <w:r>
              <w:t>tư  87</w:t>
            </w:r>
            <w:proofErr w:type="gramEnd"/>
            <w:r>
              <w:t>/2021/TT-BTC của Bộ Tài chính quy định về giao dịch điện tử trong hoạt động nghiệp vụ Kho bạc Nhà nước.</w:t>
            </w:r>
          </w:p>
        </w:tc>
      </w:tr>
      <w:tr w:rsidR="009D4D54" w:rsidRPr="00605F09" w:rsidTr="00C7385F">
        <w:trPr>
          <w:trHeight w:val="1340"/>
        </w:trPr>
        <w:tc>
          <w:tcPr>
            <w:tcW w:w="828" w:type="dxa"/>
            <w:vAlign w:val="center"/>
          </w:tcPr>
          <w:p w:rsidR="009D4D54" w:rsidRPr="00605F09" w:rsidRDefault="000D35A3" w:rsidP="00605F09">
            <w:pPr>
              <w:jc w:val="center"/>
            </w:pPr>
            <w:r>
              <w:t>5</w:t>
            </w:r>
          </w:p>
        </w:tc>
        <w:tc>
          <w:tcPr>
            <w:tcW w:w="2520" w:type="dxa"/>
            <w:vAlign w:val="center"/>
          </w:tcPr>
          <w:p w:rsidR="009D4D54" w:rsidRPr="00605F09" w:rsidRDefault="00BE5DF4" w:rsidP="00605F09">
            <w:pPr>
              <w:jc w:val="center"/>
            </w:pPr>
            <w:r w:rsidRPr="00605F09">
              <w:t>07/10/2021</w:t>
            </w:r>
          </w:p>
        </w:tc>
        <w:tc>
          <w:tcPr>
            <w:tcW w:w="6228" w:type="dxa"/>
          </w:tcPr>
          <w:p w:rsidR="009D4D54" w:rsidRPr="00605F09" w:rsidRDefault="00BE5DF4" w:rsidP="00605F09">
            <w:r w:rsidRPr="00605F09">
              <w:t>Quyết định số 1450/QĐ-TCT của Tổng cục Thuế v/v ban hành Quy định về thành phần chứa dữ liệu nghiệp vụ hóa đơn điện tử và phương thức truyền nhận với cơ quan Thuế.</w:t>
            </w:r>
          </w:p>
        </w:tc>
      </w:tr>
      <w:tr w:rsidR="009D4D54" w:rsidRPr="00605F09" w:rsidTr="00C7385F">
        <w:trPr>
          <w:trHeight w:val="701"/>
        </w:trPr>
        <w:tc>
          <w:tcPr>
            <w:tcW w:w="828" w:type="dxa"/>
            <w:vAlign w:val="center"/>
          </w:tcPr>
          <w:p w:rsidR="009D4D54" w:rsidRPr="00605F09" w:rsidRDefault="000D35A3" w:rsidP="00605F09">
            <w:pPr>
              <w:jc w:val="center"/>
            </w:pPr>
            <w:r>
              <w:t>6</w:t>
            </w:r>
          </w:p>
        </w:tc>
        <w:tc>
          <w:tcPr>
            <w:tcW w:w="2520" w:type="dxa"/>
            <w:vAlign w:val="center"/>
          </w:tcPr>
          <w:p w:rsidR="009D4D54" w:rsidRPr="00605F09" w:rsidRDefault="00BE5DF4" w:rsidP="00605F09">
            <w:pPr>
              <w:jc w:val="center"/>
            </w:pPr>
            <w:r w:rsidRPr="00605F09">
              <w:t>06/10/2021</w:t>
            </w:r>
          </w:p>
        </w:tc>
        <w:tc>
          <w:tcPr>
            <w:tcW w:w="6228" w:type="dxa"/>
          </w:tcPr>
          <w:p w:rsidR="009D4D54" w:rsidRPr="00605F09" w:rsidRDefault="00BE5DF4" w:rsidP="00605F09">
            <w:r w:rsidRPr="00605F09">
              <w:t>Quyết định số 29/2021/QĐ-TTg của Thủ tướng Chính phủ quy định về ưu đãi đầu tư đặc biệt.</w:t>
            </w:r>
          </w:p>
        </w:tc>
      </w:tr>
      <w:tr w:rsidR="009D4D54" w:rsidRPr="00605F09" w:rsidTr="00C7385F">
        <w:trPr>
          <w:trHeight w:val="1700"/>
        </w:trPr>
        <w:tc>
          <w:tcPr>
            <w:tcW w:w="828" w:type="dxa"/>
            <w:vAlign w:val="center"/>
          </w:tcPr>
          <w:p w:rsidR="009D4D54" w:rsidRPr="00605F09" w:rsidRDefault="000D35A3" w:rsidP="00605F09">
            <w:pPr>
              <w:jc w:val="center"/>
            </w:pPr>
            <w:r>
              <w:t>7</w:t>
            </w:r>
          </w:p>
        </w:tc>
        <w:tc>
          <w:tcPr>
            <w:tcW w:w="2520" w:type="dxa"/>
            <w:vAlign w:val="center"/>
          </w:tcPr>
          <w:p w:rsidR="009D4D54" w:rsidRPr="00605F09" w:rsidRDefault="00BE5DF4" w:rsidP="00605F09">
            <w:pPr>
              <w:jc w:val="center"/>
            </w:pPr>
            <w:r w:rsidRPr="00605F09">
              <w:t>29/9/2021</w:t>
            </w:r>
          </w:p>
        </w:tc>
        <w:tc>
          <w:tcPr>
            <w:tcW w:w="6228" w:type="dxa"/>
          </w:tcPr>
          <w:p w:rsidR="009D4D54" w:rsidRPr="00605F09" w:rsidRDefault="00BE5DF4" w:rsidP="00605F09">
            <w:r w:rsidRPr="00605F09">
              <w:t>Thông tư số</w:t>
            </w:r>
            <w:r w:rsidR="00DD58DB" w:rsidRPr="00605F09">
              <w:t xml:space="preserve"> 80/2021/TT-BTC</w:t>
            </w:r>
            <w:r w:rsidRPr="00605F09">
              <w:t>của Bộ Tài chính hướng dẫn thi hành một số điều của Luật Quản lý thuế và Nghị định số 126/2020/NĐ-CP ngày 19/10/2020 quy định chi tiết một số điều của Luật Quản lý thuế</w:t>
            </w:r>
            <w:r w:rsidR="00DD58DB" w:rsidRPr="00605F09">
              <w:t>.</w:t>
            </w:r>
          </w:p>
        </w:tc>
      </w:tr>
      <w:tr w:rsidR="009D4D54" w:rsidRPr="00605F09" w:rsidTr="00C7385F">
        <w:trPr>
          <w:trHeight w:val="1340"/>
        </w:trPr>
        <w:tc>
          <w:tcPr>
            <w:tcW w:w="828" w:type="dxa"/>
            <w:vAlign w:val="center"/>
          </w:tcPr>
          <w:p w:rsidR="009D4D54" w:rsidRPr="00605F09" w:rsidRDefault="000D35A3" w:rsidP="00605F09">
            <w:pPr>
              <w:jc w:val="center"/>
            </w:pPr>
            <w:r>
              <w:t>8</w:t>
            </w:r>
          </w:p>
        </w:tc>
        <w:tc>
          <w:tcPr>
            <w:tcW w:w="2520" w:type="dxa"/>
            <w:vAlign w:val="center"/>
          </w:tcPr>
          <w:p w:rsidR="009D4D54" w:rsidRPr="00605F09" w:rsidRDefault="00DD58DB" w:rsidP="00605F09">
            <w:pPr>
              <w:jc w:val="center"/>
            </w:pPr>
            <w:r w:rsidRPr="00605F09">
              <w:t>27/9/2021</w:t>
            </w:r>
          </w:p>
        </w:tc>
        <w:tc>
          <w:tcPr>
            <w:tcW w:w="6228" w:type="dxa"/>
          </w:tcPr>
          <w:p w:rsidR="009D4D54" w:rsidRPr="00605F09" w:rsidRDefault="00DD58DB" w:rsidP="00605F09">
            <w:r w:rsidRPr="00605F09">
              <w:t>Quyết định số 1417/QĐ-TCT của Tổng cục Thuế về việc ban hành kế hoạch triển khai áp dụng hóa đơn điện tử tại 6 tỉnh, thành phố: Hà Nội, TP.Hồ Chí Minh, Hải Phòng, Quảng Ninh, Bình Định, Phú Thọ</w:t>
            </w:r>
          </w:p>
        </w:tc>
      </w:tr>
      <w:tr w:rsidR="00C7385F" w:rsidRPr="00605F09" w:rsidTr="00605F09">
        <w:trPr>
          <w:trHeight w:val="1160"/>
        </w:trPr>
        <w:tc>
          <w:tcPr>
            <w:tcW w:w="828" w:type="dxa"/>
            <w:vAlign w:val="center"/>
          </w:tcPr>
          <w:p w:rsidR="00C7385F" w:rsidRDefault="000D35A3" w:rsidP="00605F09">
            <w:pPr>
              <w:jc w:val="center"/>
            </w:pPr>
            <w:r>
              <w:lastRenderedPageBreak/>
              <w:t>9</w:t>
            </w:r>
          </w:p>
        </w:tc>
        <w:tc>
          <w:tcPr>
            <w:tcW w:w="2520" w:type="dxa"/>
            <w:vAlign w:val="center"/>
          </w:tcPr>
          <w:p w:rsidR="00C7385F" w:rsidRPr="00605F09" w:rsidRDefault="00C7385F" w:rsidP="00605F09">
            <w:pPr>
              <w:jc w:val="center"/>
            </w:pPr>
            <w:r>
              <w:t>20/9/2021</w:t>
            </w:r>
          </w:p>
        </w:tc>
        <w:tc>
          <w:tcPr>
            <w:tcW w:w="6228" w:type="dxa"/>
          </w:tcPr>
          <w:p w:rsidR="00C7385F" w:rsidRPr="00C7385F" w:rsidRDefault="00C7385F" w:rsidP="00C7385F">
            <w:r w:rsidRPr="00C7385F">
              <w:t xml:space="preserve">Công văn </w:t>
            </w:r>
            <w:bookmarkStart w:id="0" w:name="loai_1"/>
            <w:r w:rsidRPr="00C7385F">
              <w:t>10847</w:t>
            </w:r>
            <w:bookmarkEnd w:id="0"/>
            <w:r w:rsidRPr="00C7385F">
              <w:t xml:space="preserve">/BTC-TCT của Bộ Tài chính về việc </w:t>
            </w:r>
            <w:bookmarkStart w:id="1" w:name="loai_1_name"/>
            <w:r w:rsidRPr="00C7385F">
              <w:t>Phối hợp triển khai hóa đơn điện tử theo quy định tại Luật Quản lý thuế số 38/2019/QH14 và Nghị định số </w:t>
            </w:r>
            <w:bookmarkEnd w:id="1"/>
            <w:r w:rsidRPr="00C7385F">
              <w:t>123/2020/NĐ-CP.</w:t>
            </w:r>
          </w:p>
        </w:tc>
      </w:tr>
      <w:tr w:rsidR="009D4D54" w:rsidRPr="00605F09" w:rsidTr="00605F09">
        <w:trPr>
          <w:trHeight w:val="1160"/>
        </w:trPr>
        <w:tc>
          <w:tcPr>
            <w:tcW w:w="828" w:type="dxa"/>
            <w:vAlign w:val="center"/>
          </w:tcPr>
          <w:p w:rsidR="009D4D54" w:rsidRPr="00605F09" w:rsidRDefault="000D35A3" w:rsidP="00605F09">
            <w:pPr>
              <w:jc w:val="center"/>
            </w:pPr>
            <w:r>
              <w:t>10</w:t>
            </w:r>
          </w:p>
        </w:tc>
        <w:tc>
          <w:tcPr>
            <w:tcW w:w="2520" w:type="dxa"/>
            <w:vAlign w:val="center"/>
          </w:tcPr>
          <w:p w:rsidR="009D4D54" w:rsidRPr="00605F09" w:rsidRDefault="00DD58DB" w:rsidP="00605F09">
            <w:pPr>
              <w:jc w:val="center"/>
            </w:pPr>
            <w:r w:rsidRPr="00605F09">
              <w:t>20/9/2021</w:t>
            </w:r>
          </w:p>
        </w:tc>
        <w:tc>
          <w:tcPr>
            <w:tcW w:w="6228" w:type="dxa"/>
          </w:tcPr>
          <w:p w:rsidR="009D4D54" w:rsidRPr="00605F09" w:rsidRDefault="00DD58DB" w:rsidP="00605F09">
            <w:r w:rsidRPr="00605F09">
              <w:t>Quyết định số 1832/QĐ-BTC của Bộ Tài chính về việc triển khai áp dụng hóa đơn điện tử tại TP. Hồ Chí Minh.</w:t>
            </w:r>
          </w:p>
        </w:tc>
      </w:tr>
      <w:tr w:rsidR="009D4D54" w:rsidRPr="00605F09" w:rsidTr="000D35A3">
        <w:trPr>
          <w:trHeight w:val="1124"/>
        </w:trPr>
        <w:tc>
          <w:tcPr>
            <w:tcW w:w="828" w:type="dxa"/>
            <w:vAlign w:val="center"/>
          </w:tcPr>
          <w:p w:rsidR="009D4D54" w:rsidRPr="00605F09" w:rsidRDefault="000D35A3" w:rsidP="00605F09">
            <w:pPr>
              <w:jc w:val="center"/>
            </w:pPr>
            <w:r>
              <w:t>11</w:t>
            </w:r>
          </w:p>
        </w:tc>
        <w:tc>
          <w:tcPr>
            <w:tcW w:w="2520" w:type="dxa"/>
            <w:vAlign w:val="center"/>
          </w:tcPr>
          <w:p w:rsidR="009D4D54" w:rsidRPr="00605F09" w:rsidRDefault="00DD58DB" w:rsidP="00605F09">
            <w:pPr>
              <w:jc w:val="center"/>
            </w:pPr>
            <w:r w:rsidRPr="00605F09">
              <w:t>20/9/2021</w:t>
            </w:r>
          </w:p>
        </w:tc>
        <w:tc>
          <w:tcPr>
            <w:tcW w:w="6228" w:type="dxa"/>
          </w:tcPr>
          <w:p w:rsidR="00DD58DB" w:rsidRPr="00605F09" w:rsidRDefault="00DD58DB" w:rsidP="00605F09">
            <w:r w:rsidRPr="00605F09">
              <w:t>Quyết định số 1830/QĐ-BTC của Bộ Tài chính về việc triển khai áp dụng hóa đơn điện tử tại Thành phố Hà Nội.</w:t>
            </w:r>
          </w:p>
          <w:p w:rsidR="009D4D54" w:rsidRPr="00605F09" w:rsidRDefault="009D4D54" w:rsidP="00605F09"/>
        </w:tc>
      </w:tr>
      <w:tr w:rsidR="009D4D54" w:rsidRPr="00605F09" w:rsidTr="00605F09">
        <w:trPr>
          <w:trHeight w:val="1664"/>
        </w:trPr>
        <w:tc>
          <w:tcPr>
            <w:tcW w:w="828" w:type="dxa"/>
            <w:vAlign w:val="center"/>
          </w:tcPr>
          <w:p w:rsidR="009D4D54" w:rsidRPr="00605F09" w:rsidRDefault="00C7385F" w:rsidP="00605F09">
            <w:pPr>
              <w:jc w:val="center"/>
            </w:pPr>
            <w:r>
              <w:t>1</w:t>
            </w:r>
            <w:r w:rsidR="000D35A3">
              <w:t>2</w:t>
            </w:r>
          </w:p>
        </w:tc>
        <w:tc>
          <w:tcPr>
            <w:tcW w:w="2520" w:type="dxa"/>
            <w:vAlign w:val="center"/>
          </w:tcPr>
          <w:p w:rsidR="009D4D54" w:rsidRPr="00605F09" w:rsidRDefault="00DD58DB" w:rsidP="00605F09">
            <w:pPr>
              <w:jc w:val="center"/>
            </w:pPr>
            <w:r w:rsidRPr="00605F09">
              <w:t>17/9/2021</w:t>
            </w:r>
          </w:p>
        </w:tc>
        <w:tc>
          <w:tcPr>
            <w:tcW w:w="6228" w:type="dxa"/>
          </w:tcPr>
          <w:p w:rsidR="009D4D54" w:rsidRPr="00605F09" w:rsidRDefault="00DD58DB" w:rsidP="00605F09">
            <w:r w:rsidRPr="00605F09">
              <w:t>Thông tư số 78/2021/TT-BTC của Bộ Tài chính hướng dẫn thực hiện một số điều của Luật Quản lý thuế năm 2019, Nghị định số 123/2020/NĐ-CP ngày 19/10/2020 của Chính phủ quy định về hoá đơn, chứng từ.</w:t>
            </w:r>
          </w:p>
        </w:tc>
      </w:tr>
    </w:tbl>
    <w:p w:rsidR="009D4D54" w:rsidRPr="00605F09" w:rsidRDefault="009D4D54" w:rsidP="00605F09"/>
    <w:sectPr w:rsidR="009D4D54" w:rsidRPr="00605F09" w:rsidSect="0072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050C"/>
    <w:multiLevelType w:val="hybridMultilevel"/>
    <w:tmpl w:val="DB8AF9DE"/>
    <w:lvl w:ilvl="0" w:tplc="BAA85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33821"/>
    <w:multiLevelType w:val="hybridMultilevel"/>
    <w:tmpl w:val="94C6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631A"/>
    <w:multiLevelType w:val="hybridMultilevel"/>
    <w:tmpl w:val="2496D4F4"/>
    <w:lvl w:ilvl="0" w:tplc="64EC34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55B7C"/>
    <w:multiLevelType w:val="hybridMultilevel"/>
    <w:tmpl w:val="44D62E62"/>
    <w:lvl w:ilvl="0" w:tplc="055AB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320FE"/>
    <w:multiLevelType w:val="hybridMultilevel"/>
    <w:tmpl w:val="9DF09EAE"/>
    <w:lvl w:ilvl="0" w:tplc="79B467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compat/>
  <w:rsids>
    <w:rsidRoot w:val="0009492A"/>
    <w:rsid w:val="0009492A"/>
    <w:rsid w:val="000D35A3"/>
    <w:rsid w:val="00274305"/>
    <w:rsid w:val="0033597B"/>
    <w:rsid w:val="003903BD"/>
    <w:rsid w:val="003B1F44"/>
    <w:rsid w:val="004D35FE"/>
    <w:rsid w:val="005466C2"/>
    <w:rsid w:val="005F52AA"/>
    <w:rsid w:val="00605F09"/>
    <w:rsid w:val="006E42AA"/>
    <w:rsid w:val="00724EB0"/>
    <w:rsid w:val="00732CDF"/>
    <w:rsid w:val="007437F1"/>
    <w:rsid w:val="007A479F"/>
    <w:rsid w:val="00821090"/>
    <w:rsid w:val="00840D7F"/>
    <w:rsid w:val="009D4D54"/>
    <w:rsid w:val="00AC39F9"/>
    <w:rsid w:val="00AE2D4C"/>
    <w:rsid w:val="00B32D2B"/>
    <w:rsid w:val="00BE5DF4"/>
    <w:rsid w:val="00BE62ED"/>
    <w:rsid w:val="00C60414"/>
    <w:rsid w:val="00C7385F"/>
    <w:rsid w:val="00C81DD3"/>
    <w:rsid w:val="00DD58DB"/>
    <w:rsid w:val="00F03F7D"/>
    <w:rsid w:val="00F73485"/>
    <w:rsid w:val="00F9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B0"/>
  </w:style>
  <w:style w:type="paragraph" w:styleId="Heading1">
    <w:name w:val="heading 1"/>
    <w:basedOn w:val="Normal"/>
    <w:link w:val="Heading1Char"/>
    <w:uiPriority w:val="9"/>
    <w:qFormat/>
    <w:rsid w:val="0009492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92A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9492A"/>
    <w:rPr>
      <w:b/>
      <w:bCs/>
    </w:rPr>
  </w:style>
  <w:style w:type="paragraph" w:styleId="ListParagraph">
    <w:name w:val="List Paragraph"/>
    <w:basedOn w:val="Normal"/>
    <w:uiPriority w:val="34"/>
    <w:qFormat/>
    <w:rsid w:val="00B3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2D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109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3F7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D4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D5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n3">
    <w:name w:val="vn_3"/>
    <w:basedOn w:val="DefaultParagraphFont"/>
    <w:rsid w:val="00C73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668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1143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645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365F-CA70-4667-8D63-1C4EE6F7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2021-10-26T04:23:00Z</dcterms:created>
  <dcterms:modified xsi:type="dcterms:W3CDTF">2021-10-28T06:59:00Z</dcterms:modified>
</cp:coreProperties>
</file>