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shd w:val="clear" w:color="auto" w:fill="FFFFFF"/>
        <w:tblCellMar>
          <w:left w:w="0" w:type="dxa"/>
          <w:right w:w="0" w:type="dxa"/>
        </w:tblCellMar>
        <w:tblLook w:val="04A0" w:firstRow="1" w:lastRow="0" w:firstColumn="1" w:lastColumn="0" w:noHBand="0" w:noVBand="1"/>
      </w:tblPr>
      <w:tblGrid>
        <w:gridCol w:w="3456"/>
        <w:gridCol w:w="5884"/>
      </w:tblGrid>
      <w:tr w:rsidR="000F2BE7" w:rsidRPr="008651ED" w14:paraId="52F096C0" w14:textId="77777777" w:rsidTr="006829C5">
        <w:tc>
          <w:tcPr>
            <w:tcW w:w="1850" w:type="pct"/>
            <w:tcBorders>
              <w:top w:val="single" w:sz="8" w:space="0" w:color="auto"/>
              <w:left w:val="single" w:sz="8" w:space="0" w:color="auto"/>
              <w:bottom w:val="nil"/>
              <w:right w:val="nil"/>
            </w:tcBorders>
            <w:shd w:val="clear" w:color="auto" w:fill="FFFFFF"/>
            <w:hideMark/>
          </w:tcPr>
          <w:p w14:paraId="43C4AD00"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TÊN CƠ QUAN</w:t>
            </w:r>
            <w:r w:rsidRPr="008651ED">
              <w:rPr>
                <w:rFonts w:ascii="Times New Roman" w:eastAsia="Times New Roman" w:hAnsi="Times New Roman" w:cs="Times New Roman"/>
                <w:b/>
                <w:bCs/>
                <w:color w:val="0C0C0C"/>
                <w:sz w:val="24"/>
                <w:szCs w:val="24"/>
              </w:rPr>
              <w:br/>
              <w:t>CẤP PHÉP</w:t>
            </w:r>
            <w:r w:rsidRPr="008651ED">
              <w:rPr>
                <w:rFonts w:ascii="Times New Roman" w:eastAsia="Times New Roman" w:hAnsi="Times New Roman" w:cs="Times New Roman"/>
                <w:b/>
                <w:bCs/>
                <w:color w:val="333333"/>
                <w:sz w:val="24"/>
                <w:szCs w:val="24"/>
              </w:rPr>
              <w:br/>
              <w:t>-------</w:t>
            </w:r>
          </w:p>
        </w:tc>
        <w:tc>
          <w:tcPr>
            <w:tcW w:w="3100" w:type="pct"/>
            <w:tcBorders>
              <w:top w:val="single" w:sz="8" w:space="0" w:color="auto"/>
              <w:left w:val="nil"/>
              <w:bottom w:val="nil"/>
              <w:right w:val="single" w:sz="8" w:space="0" w:color="auto"/>
            </w:tcBorders>
            <w:shd w:val="clear" w:color="auto" w:fill="FFFFFF"/>
            <w:hideMark/>
          </w:tcPr>
          <w:p w14:paraId="6B2DB11D"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333333"/>
                <w:sz w:val="24"/>
                <w:szCs w:val="24"/>
              </w:rPr>
              <w:t>CỘNG HÒA XÃ HỘI CHỦ NGHĨA VIỆT NAM</w:t>
            </w:r>
            <w:r w:rsidRPr="008651ED">
              <w:rPr>
                <w:rFonts w:ascii="Times New Roman" w:eastAsia="Times New Roman" w:hAnsi="Times New Roman" w:cs="Times New Roman"/>
                <w:b/>
                <w:bCs/>
                <w:color w:val="333333"/>
                <w:sz w:val="24"/>
                <w:szCs w:val="24"/>
              </w:rPr>
              <w:br/>
              <w:t>Độc lập - Tự do - Hạnh phúc</w:t>
            </w:r>
            <w:r w:rsidRPr="008651ED">
              <w:rPr>
                <w:rFonts w:ascii="Times New Roman" w:eastAsia="Times New Roman" w:hAnsi="Times New Roman" w:cs="Times New Roman"/>
                <w:b/>
                <w:bCs/>
                <w:color w:val="333333"/>
                <w:sz w:val="24"/>
                <w:szCs w:val="24"/>
              </w:rPr>
              <w:br/>
              <w:t>---------------</w:t>
            </w:r>
          </w:p>
        </w:tc>
      </w:tr>
      <w:tr w:rsidR="000F2BE7" w:rsidRPr="008651ED" w14:paraId="47CAE1C7" w14:textId="77777777" w:rsidTr="006829C5">
        <w:tc>
          <w:tcPr>
            <w:tcW w:w="1850" w:type="pct"/>
            <w:tcBorders>
              <w:top w:val="nil"/>
              <w:left w:val="single" w:sz="8" w:space="0" w:color="auto"/>
              <w:bottom w:val="nil"/>
              <w:right w:val="nil"/>
            </w:tcBorders>
            <w:shd w:val="clear" w:color="auto" w:fill="FFFFFF"/>
            <w:hideMark/>
          </w:tcPr>
          <w:p w14:paraId="72D42F45"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Số: …/GPMT-</w:t>
            </w:r>
          </w:p>
        </w:tc>
        <w:tc>
          <w:tcPr>
            <w:tcW w:w="3100" w:type="pct"/>
            <w:tcBorders>
              <w:top w:val="nil"/>
              <w:left w:val="nil"/>
              <w:bottom w:val="nil"/>
              <w:right w:val="single" w:sz="8" w:space="0" w:color="auto"/>
            </w:tcBorders>
            <w:shd w:val="clear" w:color="auto" w:fill="FFFFFF"/>
            <w:hideMark/>
          </w:tcPr>
          <w:p w14:paraId="51265D01"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(Địa danh), ngày … tháng … năm …</w:t>
            </w:r>
          </w:p>
        </w:tc>
      </w:tr>
      <w:tr w:rsidR="000F2BE7" w:rsidRPr="008651ED" w14:paraId="1986E785" w14:textId="77777777" w:rsidTr="006829C5">
        <w:tc>
          <w:tcPr>
            <w:tcW w:w="5000" w:type="pct"/>
            <w:gridSpan w:val="2"/>
            <w:tcBorders>
              <w:top w:val="nil"/>
              <w:left w:val="single" w:sz="8" w:space="0" w:color="auto"/>
              <w:bottom w:val="single" w:sz="8" w:space="0" w:color="auto"/>
              <w:right w:val="single" w:sz="8" w:space="0" w:color="auto"/>
            </w:tcBorders>
            <w:shd w:val="clear" w:color="auto" w:fill="FFFFFF"/>
            <w:hideMark/>
          </w:tcPr>
          <w:p w14:paraId="4D447725"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00000"/>
                <w:sz w:val="24"/>
                <w:szCs w:val="24"/>
              </w:rPr>
              <w:t> </w:t>
            </w:r>
          </w:p>
          <w:p w14:paraId="569B96D7"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GIẤY PHÉP MÔI TRƯỜNG</w:t>
            </w:r>
          </w:p>
          <w:p w14:paraId="29F68C20"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CƠ QUAN CẤP PHÉP (1)</w:t>
            </w:r>
          </w:p>
          <w:p w14:paraId="726A6F2E"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Căn cứ Luật Bảo vệ môi trường ngày 17 tháng 11 năm 2020;</w:t>
            </w:r>
          </w:p>
          <w:p w14:paraId="78382374"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Căn cứ Nghị định số 08/2022/NĐ-CP ngày 10 tháng 01 năm 2022 của Chính phủ quy định chi tiết một số điều của Luật Bảo vệ môi trường;</w:t>
            </w:r>
          </w:p>
          <w:p w14:paraId="1CB52123"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Căn cứ Thông tư số 02/2022/TT-BTNMT ngày 10 tháng 01 năm 2022 của Bộ trưởng Bộ Tài nguyên và Môi trường quy định chi tiết thi hành một số điều của Luật Bảo vệ môi trường;</w:t>
            </w:r>
          </w:p>
          <w:p w14:paraId="6BC50943"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Căn cứ văn bản quy định chức năng, nhiệm vụ, quyền hạn và cơ cấu tổ chức của cơ quan cấp Giấy phép môi trường;</w:t>
            </w:r>
          </w:p>
          <w:p w14:paraId="01014F79"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Căn cứ …;</w:t>
            </w:r>
          </w:p>
          <w:p w14:paraId="2A527973"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Xét Văn bản đề nghị cấp Giấy phép môi trường của (tên tổ chức/cá nhân đề nghị cấp phép) ngày...tháng... năm... và hồ sơ kèm theo;</w:t>
            </w:r>
          </w:p>
          <w:p w14:paraId="3909F5DD"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i/>
                <w:iCs/>
                <w:color w:val="0C0C0C"/>
                <w:sz w:val="24"/>
                <w:szCs w:val="24"/>
              </w:rPr>
              <w:t>Theo đề nghị của (2).</w:t>
            </w:r>
          </w:p>
          <w:p w14:paraId="4E29F065"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QUYẾT ĐỊNH:</w:t>
            </w:r>
          </w:p>
          <w:p w14:paraId="39F83167"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Điều 1: </w:t>
            </w:r>
            <w:r w:rsidRPr="008651ED">
              <w:rPr>
                <w:rFonts w:ascii="Times New Roman" w:eastAsia="Times New Roman" w:hAnsi="Times New Roman" w:cs="Times New Roman"/>
                <w:color w:val="0C0C0C"/>
                <w:sz w:val="24"/>
                <w:szCs w:val="24"/>
              </w:rPr>
              <w:t>Cấp phép cho </w:t>
            </w:r>
            <w:r w:rsidRPr="008651ED">
              <w:rPr>
                <w:rFonts w:ascii="Times New Roman" w:eastAsia="Times New Roman" w:hAnsi="Times New Roman" w:cs="Times New Roman"/>
                <w:i/>
                <w:iCs/>
                <w:color w:val="0C0C0C"/>
                <w:sz w:val="24"/>
                <w:szCs w:val="24"/>
              </w:rPr>
              <w:t>(tên tổ chức/cá nhân)</w:t>
            </w:r>
            <w:r w:rsidRPr="008651ED">
              <w:rPr>
                <w:rFonts w:ascii="Times New Roman" w:eastAsia="Times New Roman" w:hAnsi="Times New Roman" w:cs="Times New Roman"/>
                <w:color w:val="0C0C0C"/>
                <w:sz w:val="24"/>
                <w:szCs w:val="24"/>
              </w:rPr>
              <w:t>, địa chỉ tại </w:t>
            </w:r>
            <w:r w:rsidRPr="008651ED">
              <w:rPr>
                <w:rFonts w:ascii="Times New Roman" w:eastAsia="Times New Roman" w:hAnsi="Times New Roman" w:cs="Times New Roman"/>
                <w:i/>
                <w:iCs/>
                <w:color w:val="0C0C0C"/>
                <w:sz w:val="24"/>
                <w:szCs w:val="24"/>
              </w:rPr>
              <w:t>(ghi địa chỉ trụ sở chính theo Giấy đăng ký kinh doanh hoặc Quyết định thành lập; đối với cá nhân ghi theo địa chỉ hộ khẩu thường trú/CCCD) </w:t>
            </w:r>
            <w:r w:rsidRPr="008651ED">
              <w:rPr>
                <w:rFonts w:ascii="Times New Roman" w:eastAsia="Times New Roman" w:hAnsi="Times New Roman" w:cs="Times New Roman"/>
                <w:color w:val="0C0C0C"/>
                <w:sz w:val="24"/>
                <w:szCs w:val="24"/>
              </w:rPr>
              <w:t>được thực hiện các hoạt động bảo vệ môi trường của dự án đầu tư/cơ sở </w:t>
            </w:r>
            <w:r w:rsidRPr="008651ED">
              <w:rPr>
                <w:rFonts w:ascii="Times New Roman" w:eastAsia="Times New Roman" w:hAnsi="Times New Roman" w:cs="Times New Roman"/>
                <w:i/>
                <w:iCs/>
                <w:color w:val="0C0C0C"/>
                <w:sz w:val="24"/>
                <w:szCs w:val="24"/>
              </w:rPr>
              <w:t>(tên cơ sở được cấp giấy phép, địa chỉ của cơ sở theo đơn vị hành chính) </w:t>
            </w:r>
            <w:r w:rsidRPr="008651ED">
              <w:rPr>
                <w:rFonts w:ascii="Times New Roman" w:eastAsia="Times New Roman" w:hAnsi="Times New Roman" w:cs="Times New Roman"/>
                <w:color w:val="0C0C0C"/>
                <w:sz w:val="24"/>
                <w:szCs w:val="24"/>
              </w:rPr>
              <w:t>với các nội dung như sau:</w:t>
            </w:r>
          </w:p>
          <w:p w14:paraId="018C06AD"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1. Thông tin chung của dự án đầu tư/cơ sở:</w:t>
            </w:r>
          </w:p>
          <w:p w14:paraId="73E8CE8C"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1.1. Tên dự án đầu tư/cơ sở:</w:t>
            </w:r>
          </w:p>
          <w:p w14:paraId="4548B770"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1.2. Địa điểm hoạt động:</w:t>
            </w:r>
          </w:p>
          <w:p w14:paraId="11B21C55"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1.3. Giấy đăng ký kinh doanh hoặc giấy chứng nhận đầu tư:</w:t>
            </w:r>
          </w:p>
          <w:p w14:paraId="78F597C8"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1.4. Mã số thuế:</w:t>
            </w:r>
          </w:p>
          <w:p w14:paraId="00CCC8A0"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1.5. Loại hình sản xuất, kinh doanh, dịch vụ: (</w:t>
            </w:r>
            <w:r w:rsidRPr="008651ED">
              <w:rPr>
                <w:rFonts w:ascii="Times New Roman" w:eastAsia="Times New Roman" w:hAnsi="Times New Roman" w:cs="Times New Roman"/>
                <w:i/>
                <w:iCs/>
                <w:color w:val="0C0C0C"/>
                <w:sz w:val="24"/>
                <w:szCs w:val="24"/>
              </w:rPr>
              <w:t>đối với dự án đầu tư khu sản xuất, kinh doanh, dịch vụ tập trung, cụm công nghiệp cần ghi rõ các ngành, nghề được thu hút đầu tư</w:t>
            </w:r>
            <w:r w:rsidRPr="008651ED">
              <w:rPr>
                <w:rFonts w:ascii="Times New Roman" w:eastAsia="Times New Roman" w:hAnsi="Times New Roman" w:cs="Times New Roman"/>
                <w:color w:val="0C0C0C"/>
                <w:sz w:val="24"/>
                <w:szCs w:val="24"/>
              </w:rPr>
              <w:t>).</w:t>
            </w:r>
          </w:p>
          <w:p w14:paraId="4B394411"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1.6. Phạm vi, quy mô, công suất của dự án đầu tư/cơ sở:</w:t>
            </w:r>
          </w:p>
          <w:p w14:paraId="6EF524E1"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2. Nội dung cấp phép môi trường và yêu cầu về bảo vệ môi trường kèm theo:</w:t>
            </w:r>
          </w:p>
          <w:p w14:paraId="4D94B5D6"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w:t>
            </w:r>
            <w:r w:rsidRPr="008651ED">
              <w:rPr>
                <w:rFonts w:ascii="Times New Roman" w:eastAsia="Times New Roman" w:hAnsi="Times New Roman" w:cs="Times New Roman"/>
                <w:i/>
                <w:iCs/>
                <w:color w:val="0C0C0C"/>
                <w:sz w:val="24"/>
                <w:szCs w:val="24"/>
              </w:rPr>
              <w:t>Chỉ ghi những nội dung được cấp phép môi trường và yêu cầu về bảo vệ môi trường</w:t>
            </w:r>
            <w:r w:rsidRPr="008651ED">
              <w:rPr>
                <w:rFonts w:ascii="Times New Roman" w:eastAsia="Times New Roman" w:hAnsi="Times New Roman" w:cs="Times New Roman"/>
                <w:color w:val="0C0C0C"/>
                <w:sz w:val="24"/>
                <w:szCs w:val="24"/>
              </w:rPr>
              <w:t>)</w:t>
            </w:r>
          </w:p>
          <w:p w14:paraId="5D10B45F"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2.1. Được phép xả nước thải ra môi trường và thực hiện yêu cầu về bảo vệ môi trường quy định tại Phụ lục 1 ban hành kèm theo Giấy phép này.</w:t>
            </w:r>
          </w:p>
          <w:p w14:paraId="64E49459"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lastRenderedPageBreak/>
              <w:t>2.2. Được phép xả khí thải ra môi trường và thực hiện yêu cầu về bảo vệ môi trường quy định tại Phụ lục 2 ban hành kèm theo Giấy phép này.</w:t>
            </w:r>
          </w:p>
          <w:p w14:paraId="301C137E"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2.3. Bảo đảm giá trị giới hạn đối với tiếng ồn, độ rung và thực hiện yêu cầu về bảo vệ môi trường quy định tại Phụ lục 3 ban hành kèm theo Giấy phép này.</w:t>
            </w:r>
          </w:p>
          <w:p w14:paraId="40249799"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2.4. Được phép thực hiện dịch vụ xử lý chất thải nguy hại và thực hiện yêu cầu về bảo vệ môi trường quy định tại Phụ lục 4 ban hành kèm theo Giấy phép này.</w:t>
            </w:r>
          </w:p>
          <w:p w14:paraId="56D8A5B8"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2.5. Được phép nhập khẩu phế liệu từ nước ngoài làm nguyên liệu sản xuất và thực hiện yêu cầu về bảo vệ môi trường quy định tại Phụ lục 5 ban hành kèm theo Giấy phép này</w:t>
            </w:r>
            <w:r w:rsidRPr="008651ED">
              <w:rPr>
                <w:rFonts w:ascii="Times New Roman" w:eastAsia="Times New Roman" w:hAnsi="Times New Roman" w:cs="Times New Roman"/>
                <w:i/>
                <w:iCs/>
                <w:color w:val="0C0C0C"/>
                <w:sz w:val="24"/>
                <w:szCs w:val="24"/>
              </w:rPr>
              <w:t>.</w:t>
            </w:r>
          </w:p>
          <w:p w14:paraId="505A5537"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2.6. Yêu cầu về quản lý chất thải, phòng ngừa và ứng phó sự cố môi trường quy định tại Phụ lục 6 ban hành kèm theo Giấy phép này.</w:t>
            </w:r>
          </w:p>
          <w:p w14:paraId="348402DC"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2.7. Yêu cầu khác về bảo vệ môi trường quy định tại Phụ lục 7 ban hành kèm theo Giấy phép này (nếu có).</w:t>
            </w:r>
          </w:p>
          <w:p w14:paraId="476E90A2"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Điều 2. </w:t>
            </w:r>
            <w:r w:rsidRPr="008651ED">
              <w:rPr>
                <w:rFonts w:ascii="Times New Roman" w:eastAsia="Times New Roman" w:hAnsi="Times New Roman" w:cs="Times New Roman"/>
                <w:color w:val="0C0C0C"/>
                <w:sz w:val="24"/>
                <w:szCs w:val="24"/>
              </w:rPr>
              <w:t>Quyền, nghĩa vụ và trách nhiệm của tổ chức/cá nhân được cấp Giấy phép môi trường</w:t>
            </w:r>
          </w:p>
          <w:p w14:paraId="77AF611A"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1. Có quyền, nghĩa vụ theo quy định tại Điều 47 Luật Bảo vệ môi trường.</w:t>
            </w:r>
          </w:p>
          <w:p w14:paraId="1E2D22E0"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 (</w:t>
            </w:r>
            <w:r w:rsidRPr="008651ED">
              <w:rPr>
                <w:rFonts w:ascii="Times New Roman" w:eastAsia="Times New Roman" w:hAnsi="Times New Roman" w:cs="Times New Roman"/>
                <w:i/>
                <w:iCs/>
                <w:color w:val="0C0C0C"/>
                <w:sz w:val="24"/>
                <w:szCs w:val="24"/>
              </w:rPr>
              <w:t>Tên tổ chức/cá nhân</w:t>
            </w:r>
            <w:r w:rsidRPr="008651ED">
              <w:rPr>
                <w:rFonts w:ascii="Times New Roman" w:eastAsia="Times New Roman" w:hAnsi="Times New Roman" w:cs="Times New Roman"/>
                <w:color w:val="0C0C0C"/>
                <w:sz w:val="24"/>
                <w:szCs w:val="24"/>
              </w:rPr>
              <w:t>) có trách nhiệm:</w:t>
            </w:r>
          </w:p>
          <w:p w14:paraId="449FABBD"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2.1. Chỉ được phép thực hiện các nội dung cấp phép sau khi đã hoàn thành các công trình bảo vệ môi trường tương ứng.</w:t>
            </w:r>
          </w:p>
          <w:p w14:paraId="3C8C4CA0"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2.2. Vận hành thường xuyên, đúng quy trình các công trình xử lý chất thải bảo đảm chất thải sau xử lý đạt quy chuẩn kỹ thuật môi trường; có biện pháp giảm thiểu tiếng ồn, độ rung đáp ứng yêu cầu bảo vệ môi trường; quản lý chất thải theo quy định của pháp luật. Chịu trách nhiệm trước pháp luật khi chất ô nhiễm, tiếng ồn, độ rung không đạt yêu cầu cho phép tại Giấy phép này và phải dừng ngay việc xả nước thải, khí thải, phát sinh tiếng ồn, độ rung để thực hiện các biện pháp khắc phục theo quy định của pháp luật.</w:t>
            </w:r>
          </w:p>
          <w:p w14:paraId="6D645D3B"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2.3. Thực hiện đúng, đầy đủ các yêu cầu về bảo vệ môi trường trong Giấy phép môi trường này và các quy định của pháp luật về bảo vệ môi trường.</w:t>
            </w:r>
          </w:p>
          <w:p w14:paraId="3E5988BC"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2.4. Báo cáo kịp thời về cơ quan cấp giấy phép môi trường, cơ quan chức năng ở địa phương nếu xảy ra các sự cố đối với các công trình xử lý chất thải, sự cố khác dẫn đến ô nhiễm môi trường.</w:t>
            </w:r>
          </w:p>
          <w:p w14:paraId="0BDF6825"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2.5. Trong quá trình thực hiện nếu có thay đổi khác với các nội dung quy định tại Giấy phép này, phải kịp thời báo cáo đến cơ quan cấp phép.</w:t>
            </w:r>
          </w:p>
          <w:p w14:paraId="14AB10BC"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Điều 3. </w:t>
            </w:r>
            <w:r w:rsidRPr="008651ED">
              <w:rPr>
                <w:rFonts w:ascii="Times New Roman" w:eastAsia="Times New Roman" w:hAnsi="Times New Roman" w:cs="Times New Roman"/>
                <w:color w:val="0C0C0C"/>
                <w:sz w:val="24"/>
                <w:szCs w:val="24"/>
              </w:rPr>
              <w:t>Thời hạn của Giấy phép: ....... năm (từ ngày.... tháng...... năm....... đến ngày</w:t>
            </w:r>
            <w:proofErr w:type="gramStart"/>
            <w:r w:rsidRPr="008651ED">
              <w:rPr>
                <w:rFonts w:ascii="Times New Roman" w:eastAsia="Times New Roman" w:hAnsi="Times New Roman" w:cs="Times New Roman"/>
                <w:color w:val="0C0C0C"/>
                <w:sz w:val="24"/>
                <w:szCs w:val="24"/>
              </w:rPr>
              <w:t>.....</w:t>
            </w:r>
            <w:proofErr w:type="gramEnd"/>
            <w:r w:rsidRPr="008651ED">
              <w:rPr>
                <w:rFonts w:ascii="Times New Roman" w:eastAsia="Times New Roman" w:hAnsi="Times New Roman" w:cs="Times New Roman"/>
                <w:color w:val="0C0C0C"/>
                <w:sz w:val="24"/>
                <w:szCs w:val="24"/>
              </w:rPr>
              <w:t xml:space="preserve"> tháng.…...năm .......).</w:t>
            </w:r>
          </w:p>
          <w:p w14:paraId="01ADC61B"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C0C0C"/>
                <w:sz w:val="24"/>
                <w:szCs w:val="24"/>
              </w:rPr>
              <w:t>Giấy phép môi trường số …, cấp ngày …. tháng…. năm…. hết hiệu lực kể từ ngày Giấy phép môi trường này có hiệu lực (</w:t>
            </w:r>
            <w:r w:rsidRPr="008651ED">
              <w:rPr>
                <w:rFonts w:ascii="Times New Roman" w:eastAsia="Times New Roman" w:hAnsi="Times New Roman" w:cs="Times New Roman"/>
                <w:i/>
                <w:iCs/>
                <w:color w:val="0C0C0C"/>
                <w:sz w:val="24"/>
                <w:szCs w:val="24"/>
              </w:rPr>
              <w:t>chỉ ghi trong trường hợp cấp đổi, cấp lại Giấy phép môi trường</w:t>
            </w:r>
            <w:r w:rsidRPr="008651ED">
              <w:rPr>
                <w:rFonts w:ascii="Times New Roman" w:eastAsia="Times New Roman" w:hAnsi="Times New Roman" w:cs="Times New Roman"/>
                <w:color w:val="0C0C0C"/>
                <w:sz w:val="24"/>
                <w:szCs w:val="24"/>
              </w:rPr>
              <w:t>).</w:t>
            </w:r>
          </w:p>
          <w:p w14:paraId="0295AA11" w14:textId="77777777" w:rsidR="000F2BE7" w:rsidRPr="008651ED" w:rsidRDefault="000F2BE7" w:rsidP="006829C5">
            <w:pPr>
              <w:spacing w:before="120" w:line="240" w:lineRule="auto"/>
              <w:rPr>
                <w:rFonts w:ascii="Times New Roman" w:eastAsia="Times New Roman" w:hAnsi="Times New Roman" w:cs="Times New Roman"/>
                <w:color w:val="333333"/>
                <w:sz w:val="24"/>
                <w:szCs w:val="24"/>
              </w:rPr>
            </w:pPr>
            <w:r w:rsidRPr="008651ED">
              <w:rPr>
                <w:rFonts w:ascii="Times New Roman" w:eastAsia="Times New Roman" w:hAnsi="Times New Roman" w:cs="Times New Roman"/>
                <w:b/>
                <w:bCs/>
                <w:color w:val="0C0C0C"/>
                <w:sz w:val="24"/>
                <w:szCs w:val="24"/>
              </w:rPr>
              <w:t>Điều 4. </w:t>
            </w:r>
            <w:r w:rsidRPr="008651ED">
              <w:rPr>
                <w:rFonts w:ascii="Times New Roman" w:eastAsia="Times New Roman" w:hAnsi="Times New Roman" w:cs="Times New Roman"/>
                <w:color w:val="0C0C0C"/>
                <w:sz w:val="24"/>
                <w:szCs w:val="24"/>
              </w:rPr>
              <w:t>Giao (2), (4) tổ chức kiểm tra việc thực hiện nội dung cấp phép, yêu cầu bảo vệ môi trường đối với dự án, cơ sở được cấp phép theo quy định của pháp luật./.</w:t>
            </w:r>
          </w:p>
          <w:p w14:paraId="42AA00C1" w14:textId="77777777" w:rsidR="000F2BE7" w:rsidRPr="008651ED" w:rsidRDefault="000F2BE7" w:rsidP="006829C5">
            <w:pPr>
              <w:spacing w:before="120" w:line="240" w:lineRule="auto"/>
              <w:jc w:val="center"/>
              <w:rPr>
                <w:rFonts w:ascii="Times New Roman" w:eastAsia="Times New Roman" w:hAnsi="Times New Roman" w:cs="Times New Roman"/>
                <w:color w:val="333333"/>
                <w:sz w:val="24"/>
                <w:szCs w:val="24"/>
              </w:rPr>
            </w:pPr>
            <w:r w:rsidRPr="008651ED">
              <w:rPr>
                <w:rFonts w:ascii="Times New Roman" w:eastAsia="Times New Roman" w:hAnsi="Times New Roman" w:cs="Times New Roman"/>
                <w:color w:val="000000"/>
                <w:sz w:val="24"/>
                <w:szCs w:val="24"/>
              </w:rPr>
              <w:t> </w:t>
            </w:r>
          </w:p>
          <w:tbl>
            <w:tblPr>
              <w:tblW w:w="5000" w:type="pct"/>
              <w:jc w:val="center"/>
              <w:tblCellMar>
                <w:left w:w="0" w:type="dxa"/>
                <w:right w:w="0" w:type="dxa"/>
              </w:tblCellMar>
              <w:tblLook w:val="04A0" w:firstRow="1" w:lastRow="0" w:firstColumn="1" w:lastColumn="0" w:noHBand="0" w:noVBand="1"/>
            </w:tblPr>
            <w:tblGrid>
              <w:gridCol w:w="4660"/>
              <w:gridCol w:w="4660"/>
            </w:tblGrid>
            <w:tr w:rsidR="000F2BE7" w:rsidRPr="008651ED" w14:paraId="35670545" w14:textId="77777777" w:rsidTr="006829C5">
              <w:trPr>
                <w:jc w:val="center"/>
              </w:trPr>
              <w:tc>
                <w:tcPr>
                  <w:tcW w:w="4428" w:type="dxa"/>
                  <w:tcMar>
                    <w:top w:w="0" w:type="dxa"/>
                    <w:left w:w="108" w:type="dxa"/>
                    <w:bottom w:w="0" w:type="dxa"/>
                    <w:right w:w="108" w:type="dxa"/>
                  </w:tcMar>
                  <w:hideMark/>
                </w:tcPr>
                <w:p w14:paraId="0EEBCDE5" w14:textId="77777777" w:rsidR="000F2BE7" w:rsidRPr="008651ED" w:rsidRDefault="000F2BE7" w:rsidP="006829C5">
                  <w:pPr>
                    <w:spacing w:before="120" w:line="240" w:lineRule="auto"/>
                    <w:rPr>
                      <w:rFonts w:ascii="Times New Roman" w:eastAsia="Times New Roman" w:hAnsi="Times New Roman" w:cs="Times New Roman"/>
                      <w:sz w:val="24"/>
                      <w:szCs w:val="24"/>
                    </w:rPr>
                  </w:pPr>
                  <w:r w:rsidRPr="008651ED">
                    <w:rPr>
                      <w:rFonts w:ascii="Times New Roman" w:eastAsia="Times New Roman" w:hAnsi="Times New Roman" w:cs="Times New Roman"/>
                      <w:b/>
                      <w:bCs/>
                      <w:i/>
                      <w:iCs/>
                    </w:rPr>
                    <w:lastRenderedPageBreak/>
                    <w:br/>
                    <w:t>Nơi nhận:</w:t>
                  </w:r>
                  <w:r w:rsidRPr="008651ED">
                    <w:rPr>
                      <w:rFonts w:ascii="Times New Roman" w:eastAsia="Times New Roman" w:hAnsi="Times New Roman" w:cs="Times New Roman"/>
                      <w:b/>
                      <w:bCs/>
                      <w:i/>
                      <w:iCs/>
                    </w:rPr>
                    <w:br/>
                  </w:r>
                  <w:r w:rsidRPr="008651ED">
                    <w:rPr>
                      <w:rFonts w:ascii="Times New Roman" w:eastAsia="Times New Roman" w:hAnsi="Times New Roman" w:cs="Times New Roman"/>
                      <w:color w:val="0C0C0C"/>
                    </w:rPr>
                    <w:t>- Chủ dự án, cơ sở;</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Sở TN&amp;MT tỉnh/TP... (trường hợp Bộ TN&amp;MT cấp phép);</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UBND huyện/quận/thị xã/TP trực thuộc tỉnh (trường hợp UBND tỉnh hoặc Sở TN&amp;MT cấp phép);</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Ban QLKCN, KKT (đối với dự án, cơ sở nằm trong khu KCN, KKT);</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Cổng Thông tin điện tử của cơ quan cấp phép;</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Cổng Thông tin một cửa quốc gia (đối với dự án, cơ sở có nhập khẩu phế liệu làm nguyên liệu sản xuất);</w:t>
                  </w:r>
                  <w:r w:rsidRPr="008651ED">
                    <w:rPr>
                      <w:rFonts w:ascii="Times New Roman" w:eastAsia="Times New Roman" w:hAnsi="Times New Roman" w:cs="Times New Roman"/>
                      <w:color w:val="000000"/>
                    </w:rPr>
                    <w:br/>
                  </w:r>
                  <w:r w:rsidRPr="008651ED">
                    <w:rPr>
                      <w:rFonts w:ascii="Times New Roman" w:eastAsia="Times New Roman" w:hAnsi="Times New Roman" w:cs="Times New Roman"/>
                      <w:color w:val="0C0C0C"/>
                    </w:rPr>
                    <w:t xml:space="preserve">- Lưu…, </w:t>
                  </w:r>
                  <w:proofErr w:type="gramStart"/>
                  <w:r w:rsidRPr="008651ED">
                    <w:rPr>
                      <w:rFonts w:ascii="Times New Roman" w:eastAsia="Times New Roman" w:hAnsi="Times New Roman" w:cs="Times New Roman"/>
                      <w:color w:val="0C0C0C"/>
                    </w:rPr>
                    <w:t>website,...</w:t>
                  </w:r>
                  <w:proofErr w:type="gramEnd"/>
                </w:p>
              </w:tc>
              <w:tc>
                <w:tcPr>
                  <w:tcW w:w="4428" w:type="dxa"/>
                  <w:tcMar>
                    <w:top w:w="0" w:type="dxa"/>
                    <w:left w:w="108" w:type="dxa"/>
                    <w:bottom w:w="0" w:type="dxa"/>
                    <w:right w:w="108" w:type="dxa"/>
                  </w:tcMar>
                  <w:hideMark/>
                </w:tcPr>
                <w:p w14:paraId="0746779A" w14:textId="77777777" w:rsidR="000F2BE7" w:rsidRPr="008651ED" w:rsidRDefault="000F2BE7" w:rsidP="006829C5">
                  <w:pPr>
                    <w:spacing w:before="120" w:line="240" w:lineRule="auto"/>
                    <w:jc w:val="center"/>
                    <w:rPr>
                      <w:rFonts w:ascii="Times New Roman" w:eastAsia="Times New Roman" w:hAnsi="Times New Roman" w:cs="Times New Roman"/>
                      <w:sz w:val="24"/>
                      <w:szCs w:val="24"/>
                    </w:rPr>
                  </w:pPr>
                  <w:r w:rsidRPr="008651ED">
                    <w:rPr>
                      <w:rFonts w:ascii="Times New Roman" w:eastAsia="Times New Roman" w:hAnsi="Times New Roman" w:cs="Times New Roman"/>
                      <w:b/>
                      <w:bCs/>
                      <w:color w:val="0C0C0C"/>
                      <w:sz w:val="24"/>
                      <w:szCs w:val="24"/>
                    </w:rPr>
                    <w:t>THỦ TRƯỞNG</w:t>
                  </w:r>
                  <w:r w:rsidRPr="008651ED">
                    <w:rPr>
                      <w:rFonts w:ascii="Times New Roman" w:eastAsia="Times New Roman" w:hAnsi="Times New Roman" w:cs="Times New Roman"/>
                      <w:b/>
                      <w:bCs/>
                      <w:color w:val="0C0C0C"/>
                      <w:sz w:val="24"/>
                      <w:szCs w:val="24"/>
                    </w:rPr>
                    <w:br/>
                    <w:t>CƠ QUAN CẤP PHÉP (3)</w:t>
                  </w:r>
                  <w:r w:rsidRPr="008651ED">
                    <w:rPr>
                      <w:rFonts w:ascii="Times New Roman" w:eastAsia="Times New Roman" w:hAnsi="Times New Roman" w:cs="Times New Roman"/>
                      <w:b/>
                      <w:bCs/>
                      <w:color w:val="0C0C0C"/>
                      <w:sz w:val="24"/>
                      <w:szCs w:val="24"/>
                    </w:rPr>
                    <w:br/>
                  </w:r>
                  <w:r w:rsidRPr="008651ED">
                    <w:rPr>
                      <w:rFonts w:ascii="Times New Roman" w:eastAsia="Times New Roman" w:hAnsi="Times New Roman" w:cs="Times New Roman"/>
                      <w:i/>
                      <w:iCs/>
                      <w:color w:val="0C0C0C"/>
                      <w:sz w:val="24"/>
                      <w:szCs w:val="24"/>
                    </w:rPr>
                    <w:t>(Ký, ghi họ tên và đóng dấu)</w:t>
                  </w:r>
                </w:p>
              </w:tc>
            </w:tr>
          </w:tbl>
          <w:p w14:paraId="4C41F5FE" w14:textId="77777777" w:rsidR="000F2BE7" w:rsidRPr="008651ED" w:rsidRDefault="000F2BE7" w:rsidP="006829C5">
            <w:pPr>
              <w:spacing w:after="0" w:line="240" w:lineRule="auto"/>
              <w:jc w:val="center"/>
              <w:rPr>
                <w:rFonts w:ascii="Times New Roman" w:eastAsia="Times New Roman" w:hAnsi="Times New Roman" w:cs="Times New Roman"/>
                <w:color w:val="333333"/>
                <w:sz w:val="24"/>
                <w:szCs w:val="24"/>
              </w:rPr>
            </w:pPr>
          </w:p>
        </w:tc>
      </w:tr>
    </w:tbl>
    <w:p w14:paraId="676C8F6A" w14:textId="77777777" w:rsidR="000F2BE7" w:rsidRDefault="000F2BE7" w:rsidP="000F2BE7"/>
    <w:p w14:paraId="68322A66" w14:textId="77777777" w:rsidR="003730A8" w:rsidRDefault="003730A8"/>
    <w:sectPr w:rsidR="003730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2BE7"/>
    <w:rsid w:val="000F2BE7"/>
    <w:rsid w:val="00373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9189A"/>
  <w15:chartTrackingRefBased/>
  <w15:docId w15:val="{86624100-D80D-43B3-9FCA-A4E6AFC12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2"/>
        <w:szCs w:val="22"/>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748</Words>
  <Characters>4270</Characters>
  <Application>Microsoft Office Word</Application>
  <DocSecurity>0</DocSecurity>
  <Lines>35</Lines>
  <Paragraphs>10</Paragraphs>
  <ScaleCrop>false</ScaleCrop>
  <Company/>
  <LinksUpToDate>false</LinksUpToDate>
  <CharactersWithSpaces>5008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Trang Linh</dc:creator>
  <cp:keywords/>
  <dc:description/>
  <cp:lastModifiedBy>Trang Linh</cp:lastModifiedBy>
  <cp:revision>1</cp:revision>
  <dcterms:created xsi:type="dcterms:W3CDTF">2022-09-18T06:23:00Z</dcterms:created>
  <dcterms:modified xsi:type="dcterms:W3CDTF">2022-09-18T06:23:00Z</dcterms:modified>
</cp:coreProperties>
</file>