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A7B1" w14:textId="5AE25480" w:rsidR="00F42AF9" w:rsidRPr="00033E99" w:rsidRDefault="00F42AF9" w:rsidP="00033E99">
      <w:pPr>
        <w:jc w:val="center"/>
        <w:rPr>
          <w:rFonts w:ascii="Times New Roman" w:hAnsi="Times New Roman" w:cs="Times New Roman"/>
          <w:b/>
          <w:bCs/>
          <w:sz w:val="28"/>
          <w:szCs w:val="28"/>
        </w:rPr>
      </w:pPr>
      <w:r w:rsidRPr="00033E99">
        <w:rPr>
          <w:rFonts w:ascii="Times New Roman" w:hAnsi="Times New Roman" w:cs="Times New Roman"/>
          <w:b/>
          <w:bCs/>
          <w:sz w:val="28"/>
          <w:szCs w:val="28"/>
        </w:rPr>
        <w:t>Bản tin dành cho kế toán (tuần từ</w:t>
      </w:r>
      <w:r w:rsidR="00D961B5" w:rsidRPr="00033E99">
        <w:rPr>
          <w:rFonts w:ascii="Times New Roman" w:hAnsi="Times New Roman" w:cs="Times New Roman"/>
          <w:b/>
          <w:bCs/>
          <w:sz w:val="28"/>
          <w:szCs w:val="28"/>
        </w:rPr>
        <w:t xml:space="preserve"> 07-13/11/</w:t>
      </w:r>
      <w:r w:rsidR="00D961B5" w:rsidRPr="00033E99">
        <w:rPr>
          <w:rFonts w:ascii="Times New Roman" w:hAnsi="Times New Roman" w:cs="Times New Roman"/>
          <w:b/>
          <w:bCs/>
          <w:sz w:val="32"/>
          <w:szCs w:val="32"/>
        </w:rPr>
        <w:t>2022</w:t>
      </w:r>
      <w:r w:rsidRPr="00033E99">
        <w:rPr>
          <w:rFonts w:ascii="Times New Roman" w:hAnsi="Times New Roman" w:cs="Times New Roman"/>
          <w:b/>
          <w:bCs/>
          <w:sz w:val="28"/>
          <w:szCs w:val="28"/>
        </w:rPr>
        <w:t>)</w:t>
      </w:r>
    </w:p>
    <w:p w14:paraId="37D09F4C" w14:textId="26978B40" w:rsidR="00490C88" w:rsidRPr="00033E99" w:rsidRDefault="00033E99" w:rsidP="00033E99">
      <w:pPr>
        <w:pStyle w:val="NormalWeb"/>
        <w:rPr>
          <w:color w:val="333333"/>
          <w:sz w:val="28"/>
          <w:szCs w:val="28"/>
        </w:rPr>
      </w:pPr>
      <w:r w:rsidRPr="00033E99">
        <w:rPr>
          <w:color w:val="333333"/>
          <w:sz w:val="28"/>
          <w:szCs w:val="28"/>
        </w:rPr>
        <w:t>Sau đây là danh sách các văn bản mới cập nhật và văn bản có hiệu lực trong tuần từ 07 - 13/11/2022: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955"/>
        <w:gridCol w:w="4215"/>
        <w:gridCol w:w="1296"/>
      </w:tblGrid>
      <w:tr w:rsidR="00033E99" w:rsidRPr="00033E99" w14:paraId="18033B7E" w14:textId="77777777" w:rsidTr="00033E99">
        <w:trPr>
          <w:tblCellSpacing w:w="0" w:type="dxa"/>
        </w:trPr>
        <w:tc>
          <w:tcPr>
            <w:tcW w:w="0" w:type="auto"/>
            <w:vAlign w:val="center"/>
            <w:hideMark/>
          </w:tcPr>
          <w:p w14:paraId="78A70A9A" w14:textId="77777777" w:rsidR="00033E99" w:rsidRPr="00033E99" w:rsidRDefault="00033E99">
            <w:pPr>
              <w:pStyle w:val="NormalWeb"/>
              <w:jc w:val="center"/>
              <w:rPr>
                <w:color w:val="333333"/>
                <w:sz w:val="28"/>
                <w:szCs w:val="28"/>
              </w:rPr>
            </w:pPr>
            <w:r w:rsidRPr="00033E99">
              <w:rPr>
                <w:rStyle w:val="Strong"/>
                <w:color w:val="333333"/>
                <w:sz w:val="28"/>
                <w:szCs w:val="28"/>
              </w:rPr>
              <w:t>STT</w:t>
            </w:r>
          </w:p>
        </w:tc>
        <w:tc>
          <w:tcPr>
            <w:tcW w:w="2955" w:type="dxa"/>
            <w:vAlign w:val="center"/>
            <w:hideMark/>
          </w:tcPr>
          <w:p w14:paraId="3B4EB52D" w14:textId="77777777" w:rsidR="00033E99" w:rsidRPr="00033E99" w:rsidRDefault="00033E99">
            <w:pPr>
              <w:pStyle w:val="NormalWeb"/>
              <w:jc w:val="center"/>
              <w:rPr>
                <w:color w:val="333333"/>
                <w:sz w:val="28"/>
                <w:szCs w:val="28"/>
              </w:rPr>
            </w:pPr>
            <w:r w:rsidRPr="00033E99">
              <w:rPr>
                <w:rStyle w:val="Strong"/>
                <w:color w:val="333333"/>
                <w:sz w:val="28"/>
                <w:szCs w:val="28"/>
              </w:rPr>
              <w:t>Văn bản</w:t>
            </w:r>
          </w:p>
        </w:tc>
        <w:tc>
          <w:tcPr>
            <w:tcW w:w="0" w:type="auto"/>
            <w:vAlign w:val="center"/>
            <w:hideMark/>
          </w:tcPr>
          <w:p w14:paraId="5589434E" w14:textId="77777777" w:rsidR="00033E99" w:rsidRPr="00033E99" w:rsidRDefault="00033E99">
            <w:pPr>
              <w:pStyle w:val="NormalWeb"/>
              <w:jc w:val="center"/>
              <w:rPr>
                <w:color w:val="333333"/>
                <w:sz w:val="28"/>
                <w:szCs w:val="28"/>
              </w:rPr>
            </w:pPr>
            <w:r w:rsidRPr="00033E99">
              <w:rPr>
                <w:rStyle w:val="Strong"/>
                <w:color w:val="333333"/>
                <w:sz w:val="28"/>
                <w:szCs w:val="28"/>
              </w:rPr>
              <w:t>Tóm tắt</w:t>
            </w:r>
          </w:p>
        </w:tc>
        <w:tc>
          <w:tcPr>
            <w:tcW w:w="0" w:type="auto"/>
            <w:vAlign w:val="center"/>
            <w:hideMark/>
          </w:tcPr>
          <w:p w14:paraId="0DE7FDE0" w14:textId="77777777" w:rsidR="00033E99" w:rsidRPr="00033E99" w:rsidRDefault="00033E99">
            <w:pPr>
              <w:pStyle w:val="NormalWeb"/>
              <w:jc w:val="center"/>
              <w:rPr>
                <w:color w:val="333333"/>
                <w:sz w:val="28"/>
                <w:szCs w:val="28"/>
              </w:rPr>
            </w:pPr>
            <w:r w:rsidRPr="00033E99">
              <w:rPr>
                <w:rStyle w:val="Strong"/>
                <w:color w:val="333333"/>
                <w:sz w:val="28"/>
                <w:szCs w:val="28"/>
              </w:rPr>
              <w:t>Hiệu lực</w:t>
            </w:r>
          </w:p>
        </w:tc>
      </w:tr>
      <w:tr w:rsidR="00033E99" w:rsidRPr="00033E99" w14:paraId="66E2C723" w14:textId="77777777" w:rsidTr="00033E99">
        <w:trPr>
          <w:tblCellSpacing w:w="0" w:type="dxa"/>
        </w:trPr>
        <w:tc>
          <w:tcPr>
            <w:tcW w:w="8421" w:type="dxa"/>
            <w:gridSpan w:val="4"/>
            <w:vAlign w:val="center"/>
            <w:hideMark/>
          </w:tcPr>
          <w:p w14:paraId="4F0DFE54" w14:textId="77777777" w:rsidR="00033E99" w:rsidRPr="00033E99" w:rsidRDefault="00033E99">
            <w:pPr>
              <w:pStyle w:val="NormalWeb"/>
              <w:jc w:val="center"/>
              <w:rPr>
                <w:color w:val="333333"/>
                <w:sz w:val="28"/>
                <w:szCs w:val="28"/>
              </w:rPr>
            </w:pPr>
            <w:r w:rsidRPr="00033E99">
              <w:rPr>
                <w:rStyle w:val="Strong"/>
                <w:color w:val="333333"/>
                <w:sz w:val="28"/>
                <w:szCs w:val="28"/>
              </w:rPr>
              <w:t>Mẫu biên lai, chứng từ thuế</w:t>
            </w:r>
          </w:p>
        </w:tc>
      </w:tr>
      <w:tr w:rsidR="00033E99" w:rsidRPr="00033E99" w14:paraId="34B685ED" w14:textId="77777777" w:rsidTr="00033E99">
        <w:trPr>
          <w:tblCellSpacing w:w="0" w:type="dxa"/>
        </w:trPr>
        <w:tc>
          <w:tcPr>
            <w:tcW w:w="0" w:type="auto"/>
            <w:vAlign w:val="center"/>
            <w:hideMark/>
          </w:tcPr>
          <w:p w14:paraId="24FE75C3" w14:textId="77777777" w:rsidR="00033E99" w:rsidRPr="00033E99" w:rsidRDefault="00033E99">
            <w:pPr>
              <w:pStyle w:val="NormalWeb"/>
              <w:jc w:val="center"/>
              <w:rPr>
                <w:color w:val="333333"/>
                <w:sz w:val="28"/>
                <w:szCs w:val="28"/>
              </w:rPr>
            </w:pPr>
            <w:r w:rsidRPr="00033E99">
              <w:rPr>
                <w:color w:val="333333"/>
                <w:sz w:val="28"/>
                <w:szCs w:val="28"/>
              </w:rPr>
              <w:t>1</w:t>
            </w:r>
          </w:p>
        </w:tc>
        <w:tc>
          <w:tcPr>
            <w:tcW w:w="2955" w:type="dxa"/>
            <w:vAlign w:val="center"/>
            <w:hideMark/>
          </w:tcPr>
          <w:p w14:paraId="50F890D5" w14:textId="77777777" w:rsidR="00033E99" w:rsidRPr="00033E99" w:rsidRDefault="00033E99">
            <w:pPr>
              <w:pStyle w:val="NormalWeb"/>
              <w:rPr>
                <w:color w:val="333333"/>
                <w:sz w:val="28"/>
                <w:szCs w:val="28"/>
              </w:rPr>
            </w:pPr>
            <w:r w:rsidRPr="00033E99">
              <w:rPr>
                <w:color w:val="333333"/>
                <w:sz w:val="28"/>
                <w:szCs w:val="28"/>
              </w:rPr>
              <w:t>Công văn </w:t>
            </w:r>
            <w:hyperlink r:id="rId6" w:history="1">
              <w:r w:rsidRPr="00033E99">
                <w:rPr>
                  <w:rStyle w:val="Hyperlink"/>
                  <w:color w:val="0782C1"/>
                  <w:sz w:val="28"/>
                  <w:szCs w:val="28"/>
                </w:rPr>
                <w:t>3946/TCT-TVQT</w:t>
              </w:r>
            </w:hyperlink>
            <w:r w:rsidRPr="00033E99">
              <w:rPr>
                <w:color w:val="333333"/>
                <w:sz w:val="28"/>
                <w:szCs w:val="28"/>
              </w:rPr>
              <w:t> của Tổng cục Thuế về việc rà soát các loại ấn chỉ không còn giá trị sử dụng</w:t>
            </w:r>
          </w:p>
        </w:tc>
        <w:tc>
          <w:tcPr>
            <w:tcW w:w="0" w:type="auto"/>
            <w:vAlign w:val="center"/>
            <w:hideMark/>
          </w:tcPr>
          <w:p w14:paraId="6AD910CB" w14:textId="77777777" w:rsidR="00033E99" w:rsidRPr="00033E99" w:rsidRDefault="00033E99">
            <w:pPr>
              <w:pStyle w:val="NormalWeb"/>
              <w:rPr>
                <w:color w:val="333333"/>
                <w:sz w:val="28"/>
                <w:szCs w:val="28"/>
              </w:rPr>
            </w:pPr>
            <w:r w:rsidRPr="00033E99">
              <w:rPr>
                <w:color w:val="333333"/>
                <w:sz w:val="28"/>
                <w:szCs w:val="28"/>
              </w:rPr>
              <w:t>Thông báo 07 loại ấn chỉ thuế không còn giá trị sử dụng: </w:t>
            </w:r>
          </w:p>
          <w:p w14:paraId="24663EA6" w14:textId="77777777" w:rsidR="00033E99" w:rsidRPr="00033E99" w:rsidRDefault="00033E99">
            <w:pPr>
              <w:pStyle w:val="NormalWeb"/>
              <w:rPr>
                <w:color w:val="333333"/>
                <w:sz w:val="28"/>
                <w:szCs w:val="28"/>
              </w:rPr>
            </w:pPr>
            <w:r w:rsidRPr="00033E99">
              <w:rPr>
                <w:color w:val="333333"/>
                <w:sz w:val="28"/>
                <w:szCs w:val="28"/>
              </w:rPr>
              <w:t>- Biên lai thuế môn bài mẫu CTT03A;</w:t>
            </w:r>
          </w:p>
          <w:p w14:paraId="017E265F" w14:textId="77777777" w:rsidR="00033E99" w:rsidRPr="00033E99" w:rsidRDefault="00033E99">
            <w:pPr>
              <w:pStyle w:val="NormalWeb"/>
              <w:rPr>
                <w:color w:val="333333"/>
                <w:sz w:val="28"/>
                <w:szCs w:val="28"/>
              </w:rPr>
            </w:pPr>
            <w:r w:rsidRPr="00033E99">
              <w:rPr>
                <w:color w:val="333333"/>
                <w:sz w:val="28"/>
                <w:szCs w:val="28"/>
              </w:rPr>
              <w:t>- Biên lai thu thuế nhà đất mẫu CTT09A;</w:t>
            </w:r>
          </w:p>
          <w:p w14:paraId="5F92C99A" w14:textId="77777777" w:rsidR="00033E99" w:rsidRPr="00033E99" w:rsidRDefault="00033E99">
            <w:pPr>
              <w:pStyle w:val="NormalWeb"/>
              <w:rPr>
                <w:color w:val="333333"/>
                <w:sz w:val="28"/>
                <w:szCs w:val="28"/>
              </w:rPr>
            </w:pPr>
            <w:r w:rsidRPr="00033E99">
              <w:rPr>
                <w:color w:val="333333"/>
                <w:sz w:val="28"/>
                <w:szCs w:val="28"/>
              </w:rPr>
              <w:t>- Thông báo thuế trên máy vi tính mẫu CTT40B, CTT40C; Thông báo nộp thuế hộ kinh doanh vừa và nhỏ mẫu CTT53B;</w:t>
            </w:r>
          </w:p>
          <w:p w14:paraId="1D4CF08A" w14:textId="77777777" w:rsidR="00033E99" w:rsidRPr="00033E99" w:rsidRDefault="00033E99">
            <w:pPr>
              <w:pStyle w:val="NormalWeb"/>
              <w:rPr>
                <w:color w:val="333333"/>
                <w:sz w:val="28"/>
                <w:szCs w:val="28"/>
              </w:rPr>
            </w:pPr>
            <w:r w:rsidRPr="00033E99">
              <w:rPr>
                <w:color w:val="333333"/>
                <w:sz w:val="28"/>
                <w:szCs w:val="28"/>
              </w:rPr>
              <w:t>- Biên lai thu thuế trước bạ mẫu CTT06, Biên lai thuế trước bạ in vi tính mẫu CTT06A, phiếu thu tiền mẫu CTT41A;</w:t>
            </w:r>
          </w:p>
          <w:p w14:paraId="2BB4AA09" w14:textId="77777777" w:rsidR="00033E99" w:rsidRPr="00033E99" w:rsidRDefault="00033E99">
            <w:pPr>
              <w:pStyle w:val="NormalWeb"/>
              <w:rPr>
                <w:color w:val="333333"/>
                <w:sz w:val="28"/>
                <w:szCs w:val="28"/>
              </w:rPr>
            </w:pPr>
            <w:r w:rsidRPr="00033E99">
              <w:rPr>
                <w:color w:val="333333"/>
                <w:sz w:val="28"/>
                <w:szCs w:val="28"/>
              </w:rPr>
              <w:t>- Giấy chứng nhận đăng ký thuế mẫu 10-MST và Giấy chứng nhận mã số thuế cá nhân mẫu 12-MST;</w:t>
            </w:r>
          </w:p>
          <w:p w14:paraId="4CEBF52F" w14:textId="77777777" w:rsidR="00033E99" w:rsidRPr="00033E99" w:rsidRDefault="00033E99">
            <w:pPr>
              <w:pStyle w:val="NormalWeb"/>
              <w:rPr>
                <w:color w:val="333333"/>
                <w:sz w:val="28"/>
                <w:szCs w:val="28"/>
              </w:rPr>
            </w:pPr>
            <w:r w:rsidRPr="00033E99">
              <w:rPr>
                <w:color w:val="333333"/>
                <w:sz w:val="28"/>
                <w:szCs w:val="28"/>
              </w:rPr>
              <w:t>- Tem rượu sản xuất để tiêu thụ trong nước, Tem thuốc lá sản xuất trong nước in mã vạch đa chiều;</w:t>
            </w:r>
          </w:p>
          <w:p w14:paraId="1329E4B8" w14:textId="77777777" w:rsidR="00033E99" w:rsidRPr="00033E99" w:rsidRDefault="00033E99">
            <w:pPr>
              <w:pStyle w:val="NormalWeb"/>
              <w:rPr>
                <w:color w:val="333333"/>
                <w:sz w:val="28"/>
                <w:szCs w:val="28"/>
              </w:rPr>
            </w:pPr>
            <w:r w:rsidRPr="00033E99">
              <w:rPr>
                <w:color w:val="333333"/>
                <w:sz w:val="28"/>
                <w:szCs w:val="28"/>
              </w:rPr>
              <w:t>- Chứng từ khấu trừ thuế thu nhập cá nhân mẫu CTT56, CTT56B.</w:t>
            </w:r>
          </w:p>
        </w:tc>
        <w:tc>
          <w:tcPr>
            <w:tcW w:w="0" w:type="auto"/>
            <w:vAlign w:val="center"/>
            <w:hideMark/>
          </w:tcPr>
          <w:p w14:paraId="493815C0" w14:textId="77777777" w:rsidR="00033E99" w:rsidRPr="00033E99" w:rsidRDefault="00033E99">
            <w:pPr>
              <w:pStyle w:val="NormalWeb"/>
              <w:jc w:val="center"/>
              <w:rPr>
                <w:color w:val="333333"/>
                <w:sz w:val="28"/>
                <w:szCs w:val="28"/>
              </w:rPr>
            </w:pPr>
            <w:r w:rsidRPr="00033E99">
              <w:rPr>
                <w:color w:val="333333"/>
                <w:sz w:val="28"/>
                <w:szCs w:val="28"/>
              </w:rPr>
              <w:t>27/10/2022</w:t>
            </w:r>
          </w:p>
          <w:p w14:paraId="07A7355B" w14:textId="77777777" w:rsidR="00033E99" w:rsidRPr="00033E99" w:rsidRDefault="00033E99">
            <w:pPr>
              <w:pStyle w:val="NormalWeb"/>
              <w:jc w:val="center"/>
              <w:rPr>
                <w:color w:val="333333"/>
                <w:sz w:val="28"/>
                <w:szCs w:val="28"/>
              </w:rPr>
            </w:pPr>
          </w:p>
        </w:tc>
      </w:tr>
      <w:tr w:rsidR="00033E99" w:rsidRPr="00033E99" w14:paraId="08A57823" w14:textId="77777777" w:rsidTr="00033E99">
        <w:trPr>
          <w:tblCellSpacing w:w="0" w:type="dxa"/>
        </w:trPr>
        <w:tc>
          <w:tcPr>
            <w:tcW w:w="8421" w:type="dxa"/>
            <w:gridSpan w:val="4"/>
            <w:vAlign w:val="center"/>
            <w:hideMark/>
          </w:tcPr>
          <w:p w14:paraId="593CB2D5" w14:textId="77777777" w:rsidR="00033E99" w:rsidRPr="00033E99" w:rsidRDefault="00033E99">
            <w:pPr>
              <w:jc w:val="center"/>
              <w:rPr>
                <w:rFonts w:ascii="Times New Roman" w:hAnsi="Times New Roman" w:cs="Times New Roman"/>
                <w:color w:val="333333"/>
                <w:sz w:val="28"/>
                <w:szCs w:val="28"/>
              </w:rPr>
            </w:pPr>
            <w:r w:rsidRPr="00033E99">
              <w:rPr>
                <w:rFonts w:ascii="Times New Roman" w:hAnsi="Times New Roman" w:cs="Times New Roman"/>
                <w:b/>
                <w:bCs/>
                <w:color w:val="333333"/>
                <w:sz w:val="28"/>
                <w:szCs w:val="28"/>
              </w:rPr>
              <w:t>Nghiệp vụ kế toán</w:t>
            </w:r>
          </w:p>
        </w:tc>
      </w:tr>
      <w:tr w:rsidR="00033E99" w:rsidRPr="00033E99" w14:paraId="53CA25B7" w14:textId="77777777" w:rsidTr="00033E99">
        <w:trPr>
          <w:tblCellSpacing w:w="0" w:type="dxa"/>
        </w:trPr>
        <w:tc>
          <w:tcPr>
            <w:tcW w:w="0" w:type="auto"/>
            <w:vAlign w:val="center"/>
            <w:hideMark/>
          </w:tcPr>
          <w:p w14:paraId="4EFE99A0" w14:textId="77777777" w:rsidR="00033E99" w:rsidRPr="00033E99" w:rsidRDefault="00033E99">
            <w:pPr>
              <w:pStyle w:val="NormalWeb"/>
              <w:jc w:val="center"/>
              <w:rPr>
                <w:color w:val="333333"/>
                <w:sz w:val="28"/>
                <w:szCs w:val="28"/>
              </w:rPr>
            </w:pPr>
            <w:r w:rsidRPr="00033E99">
              <w:rPr>
                <w:color w:val="333333"/>
                <w:sz w:val="28"/>
                <w:szCs w:val="28"/>
              </w:rPr>
              <w:t>2</w:t>
            </w:r>
          </w:p>
        </w:tc>
        <w:tc>
          <w:tcPr>
            <w:tcW w:w="2955" w:type="dxa"/>
            <w:vAlign w:val="center"/>
            <w:hideMark/>
          </w:tcPr>
          <w:p w14:paraId="185870D6" w14:textId="77777777" w:rsidR="00033E99" w:rsidRPr="00033E99" w:rsidRDefault="00033E99">
            <w:pPr>
              <w:pStyle w:val="NormalWeb"/>
              <w:rPr>
                <w:color w:val="333333"/>
                <w:sz w:val="28"/>
                <w:szCs w:val="28"/>
              </w:rPr>
            </w:pPr>
            <w:r w:rsidRPr="00033E99">
              <w:rPr>
                <w:color w:val="333333"/>
                <w:sz w:val="28"/>
                <w:szCs w:val="28"/>
              </w:rPr>
              <w:t>Công văn </w:t>
            </w:r>
            <w:hyperlink r:id="rId7" w:history="1">
              <w:r w:rsidRPr="00033E99">
                <w:rPr>
                  <w:rStyle w:val="Hyperlink"/>
                  <w:color w:val="0782C1"/>
                  <w:sz w:val="28"/>
                  <w:szCs w:val="28"/>
                </w:rPr>
                <w:t>3977/TCT-KK</w:t>
              </w:r>
            </w:hyperlink>
            <w:r w:rsidRPr="00033E99">
              <w:rPr>
                <w:color w:val="333333"/>
                <w:sz w:val="28"/>
                <w:szCs w:val="28"/>
              </w:rPr>
              <w:t> của Tổng cục Thuế về việc hướng dẫn tiểu mục nộp tiền vào ngân sách Nhà nước</w:t>
            </w:r>
          </w:p>
        </w:tc>
        <w:tc>
          <w:tcPr>
            <w:tcW w:w="0" w:type="auto"/>
            <w:vAlign w:val="center"/>
            <w:hideMark/>
          </w:tcPr>
          <w:p w14:paraId="13ED6FD3" w14:textId="77777777" w:rsidR="00033E99" w:rsidRPr="00033E99" w:rsidRDefault="00033E99">
            <w:pPr>
              <w:pStyle w:val="NormalWeb"/>
              <w:rPr>
                <w:color w:val="333333"/>
                <w:sz w:val="28"/>
                <w:szCs w:val="28"/>
              </w:rPr>
            </w:pPr>
            <w:r w:rsidRPr="00033E99">
              <w:rPr>
                <w:color w:val="333333"/>
                <w:sz w:val="28"/>
                <w:szCs w:val="28"/>
              </w:rPr>
              <w:t>Khoản thu “Phí thẩm định cấp, điều chỉnh giấy phép môi trường” hạch toán vào tiểu mục 2632 "Phí thẩn định điều kiện hành nghề thuộc lĩnh vực tài nguyên môi trường”.</w:t>
            </w:r>
          </w:p>
        </w:tc>
        <w:tc>
          <w:tcPr>
            <w:tcW w:w="0" w:type="auto"/>
            <w:vAlign w:val="center"/>
            <w:hideMark/>
          </w:tcPr>
          <w:p w14:paraId="16E7C054" w14:textId="77777777" w:rsidR="00033E99" w:rsidRPr="00033E99" w:rsidRDefault="00033E99">
            <w:pPr>
              <w:pStyle w:val="NormalWeb"/>
              <w:jc w:val="center"/>
              <w:rPr>
                <w:color w:val="333333"/>
                <w:sz w:val="28"/>
                <w:szCs w:val="28"/>
              </w:rPr>
            </w:pPr>
            <w:r w:rsidRPr="00033E99">
              <w:rPr>
                <w:color w:val="333333"/>
                <w:sz w:val="28"/>
                <w:szCs w:val="28"/>
              </w:rPr>
              <w:t>28/10/2022</w:t>
            </w:r>
          </w:p>
        </w:tc>
      </w:tr>
      <w:tr w:rsidR="00033E99" w:rsidRPr="00033E99" w14:paraId="151DF6DA" w14:textId="77777777" w:rsidTr="00033E99">
        <w:trPr>
          <w:tblCellSpacing w:w="0" w:type="dxa"/>
        </w:trPr>
        <w:tc>
          <w:tcPr>
            <w:tcW w:w="8421" w:type="dxa"/>
            <w:gridSpan w:val="4"/>
            <w:vAlign w:val="center"/>
            <w:hideMark/>
          </w:tcPr>
          <w:p w14:paraId="0D15B719" w14:textId="77777777" w:rsidR="00033E99" w:rsidRPr="00033E99" w:rsidRDefault="00033E99">
            <w:pPr>
              <w:jc w:val="center"/>
              <w:rPr>
                <w:rFonts w:ascii="Times New Roman" w:hAnsi="Times New Roman" w:cs="Times New Roman"/>
                <w:color w:val="333333"/>
                <w:sz w:val="28"/>
                <w:szCs w:val="28"/>
              </w:rPr>
            </w:pPr>
            <w:r w:rsidRPr="00033E99">
              <w:rPr>
                <w:rStyle w:val="Strong"/>
                <w:rFonts w:ascii="Times New Roman" w:hAnsi="Times New Roman" w:cs="Times New Roman"/>
                <w:color w:val="333333"/>
                <w:sz w:val="28"/>
                <w:szCs w:val="28"/>
              </w:rPr>
              <w:lastRenderedPageBreak/>
              <w:t>Thuế thu nhập doanh nghiệp</w:t>
            </w:r>
          </w:p>
        </w:tc>
      </w:tr>
      <w:tr w:rsidR="00033E99" w:rsidRPr="00033E99" w14:paraId="0790F613" w14:textId="77777777" w:rsidTr="00033E99">
        <w:trPr>
          <w:tblCellSpacing w:w="0" w:type="dxa"/>
        </w:trPr>
        <w:tc>
          <w:tcPr>
            <w:tcW w:w="0" w:type="auto"/>
            <w:vAlign w:val="center"/>
            <w:hideMark/>
          </w:tcPr>
          <w:p w14:paraId="3993C896" w14:textId="77777777" w:rsidR="00033E99" w:rsidRPr="00033E99" w:rsidRDefault="00033E99">
            <w:pPr>
              <w:pStyle w:val="NormalWeb"/>
              <w:jc w:val="center"/>
              <w:rPr>
                <w:color w:val="333333"/>
                <w:sz w:val="28"/>
                <w:szCs w:val="28"/>
              </w:rPr>
            </w:pPr>
            <w:r w:rsidRPr="00033E99">
              <w:rPr>
                <w:color w:val="333333"/>
                <w:sz w:val="28"/>
                <w:szCs w:val="28"/>
              </w:rPr>
              <w:t>3</w:t>
            </w:r>
          </w:p>
        </w:tc>
        <w:tc>
          <w:tcPr>
            <w:tcW w:w="2955" w:type="dxa"/>
            <w:vAlign w:val="center"/>
            <w:hideMark/>
          </w:tcPr>
          <w:p w14:paraId="7582EF97" w14:textId="77777777" w:rsidR="00033E99" w:rsidRPr="00033E99" w:rsidRDefault="00033E99">
            <w:pPr>
              <w:pStyle w:val="NormalWeb"/>
              <w:rPr>
                <w:color w:val="333333"/>
                <w:sz w:val="28"/>
                <w:szCs w:val="28"/>
              </w:rPr>
            </w:pPr>
            <w:r w:rsidRPr="00033E99">
              <w:rPr>
                <w:color w:val="333333"/>
                <w:sz w:val="28"/>
                <w:szCs w:val="28"/>
              </w:rPr>
              <w:t>Thông tư </w:t>
            </w:r>
            <w:hyperlink r:id="rId8" w:history="1">
              <w:r w:rsidRPr="00033E99">
                <w:rPr>
                  <w:rStyle w:val="Hyperlink"/>
                  <w:color w:val="0782C1"/>
                  <w:sz w:val="28"/>
                  <w:szCs w:val="28"/>
                </w:rPr>
                <w:t>67/2022/TT-BTC</w:t>
              </w:r>
            </w:hyperlink>
            <w:r w:rsidRPr="00033E99">
              <w:rPr>
                <w:color w:val="333333"/>
                <w:sz w:val="28"/>
                <w:szCs w:val="28"/>
              </w:rPr>
              <w:t> của Bộ Tài chính hướng dẫn về nghĩa vụ thuế khi doanh nghiệp trích lập và sử dụng Quỹ phát triển khoa học và công nghệ của doanh nghiệp</w:t>
            </w:r>
          </w:p>
        </w:tc>
        <w:tc>
          <w:tcPr>
            <w:tcW w:w="0" w:type="auto"/>
            <w:vAlign w:val="center"/>
            <w:hideMark/>
          </w:tcPr>
          <w:p w14:paraId="3B2E7089" w14:textId="77777777" w:rsidR="00033E99" w:rsidRPr="00033E99" w:rsidRDefault="00033E99">
            <w:pPr>
              <w:pStyle w:val="NormalWeb"/>
              <w:rPr>
                <w:color w:val="333333"/>
                <w:sz w:val="28"/>
                <w:szCs w:val="28"/>
              </w:rPr>
            </w:pPr>
            <w:r w:rsidRPr="00033E99">
              <w:rPr>
                <w:color w:val="333333"/>
                <w:sz w:val="28"/>
                <w:szCs w:val="28"/>
              </w:rPr>
              <w:t>Hằng năm, doanh nghiệp được trích theo tỷ lệ phần trăm (%) tính trên thu nhập tính thuế thu nhập doanh nghiệp để tạo nguồn Quỹ phát triển khoa học và công nghệ của doanh nghiệp, cụ thể:</w:t>
            </w:r>
          </w:p>
          <w:p w14:paraId="7FA01B32" w14:textId="77777777" w:rsidR="00033E99" w:rsidRPr="00033E99" w:rsidRDefault="00033E99">
            <w:pPr>
              <w:pStyle w:val="NormalWeb"/>
              <w:rPr>
                <w:color w:val="333333"/>
                <w:sz w:val="28"/>
                <w:szCs w:val="28"/>
              </w:rPr>
            </w:pPr>
            <w:r w:rsidRPr="00033E99">
              <w:rPr>
                <w:color w:val="333333"/>
                <w:sz w:val="28"/>
                <w:szCs w:val="28"/>
              </w:rPr>
              <w:t>- Doanh nghiệp nhà nước: Trích từ 3% - 10% thu nhập tính thuế thu nhập doanh nghiệp trong kỳ tính thuế. Tỷ lệ trích cụ thể căn cứ vào khả năng và nhu cầu chi cho các hoạt động khoa học và công nghệ của doanh nghiệp;</w:t>
            </w:r>
          </w:p>
          <w:p w14:paraId="3C404ECA" w14:textId="77777777" w:rsidR="00033E99" w:rsidRPr="00033E99" w:rsidRDefault="00033E99">
            <w:pPr>
              <w:pStyle w:val="NormalWeb"/>
              <w:rPr>
                <w:color w:val="333333"/>
                <w:sz w:val="28"/>
                <w:szCs w:val="28"/>
              </w:rPr>
            </w:pPr>
            <w:r w:rsidRPr="00033E99">
              <w:rPr>
                <w:color w:val="333333"/>
                <w:sz w:val="28"/>
                <w:szCs w:val="28"/>
              </w:rPr>
              <w:t>- Doanh nghiệp tư nhân: Tự quyết định mức trích cụ thể, nhưng tối đa không quá 10% thu nhập tính thuế thu nhập doanh nghiệp trong kỳ tính thuế.</w:t>
            </w:r>
          </w:p>
        </w:tc>
        <w:tc>
          <w:tcPr>
            <w:tcW w:w="0" w:type="auto"/>
            <w:vAlign w:val="center"/>
            <w:hideMark/>
          </w:tcPr>
          <w:p w14:paraId="0A1B7E84" w14:textId="77777777" w:rsidR="00033E99" w:rsidRPr="00033E99" w:rsidRDefault="00033E99">
            <w:pPr>
              <w:pStyle w:val="NormalWeb"/>
              <w:jc w:val="center"/>
              <w:rPr>
                <w:color w:val="333333"/>
                <w:sz w:val="28"/>
                <w:szCs w:val="28"/>
              </w:rPr>
            </w:pPr>
            <w:r w:rsidRPr="00033E99">
              <w:rPr>
                <w:color w:val="333333"/>
                <w:sz w:val="28"/>
                <w:szCs w:val="28"/>
              </w:rPr>
              <w:t>23/12/2022</w:t>
            </w:r>
          </w:p>
          <w:p w14:paraId="5BD14D57" w14:textId="77777777" w:rsidR="00033E99" w:rsidRPr="00033E99" w:rsidRDefault="00033E99">
            <w:pPr>
              <w:pStyle w:val="NormalWeb"/>
              <w:jc w:val="center"/>
              <w:rPr>
                <w:color w:val="333333"/>
                <w:sz w:val="28"/>
                <w:szCs w:val="28"/>
              </w:rPr>
            </w:pPr>
          </w:p>
        </w:tc>
      </w:tr>
      <w:tr w:rsidR="00033E99" w:rsidRPr="00033E99" w14:paraId="3E7142FD" w14:textId="77777777" w:rsidTr="00033E99">
        <w:trPr>
          <w:tblCellSpacing w:w="0" w:type="dxa"/>
        </w:trPr>
        <w:tc>
          <w:tcPr>
            <w:tcW w:w="8421" w:type="dxa"/>
            <w:gridSpan w:val="4"/>
            <w:vAlign w:val="center"/>
            <w:hideMark/>
          </w:tcPr>
          <w:p w14:paraId="5F3CE6DB" w14:textId="77777777" w:rsidR="00033E99" w:rsidRPr="00033E99" w:rsidRDefault="00033E99">
            <w:pPr>
              <w:pStyle w:val="NormalWeb"/>
              <w:jc w:val="center"/>
              <w:rPr>
                <w:color w:val="333333"/>
                <w:sz w:val="28"/>
                <w:szCs w:val="28"/>
              </w:rPr>
            </w:pPr>
            <w:r w:rsidRPr="00033E99">
              <w:rPr>
                <w:rStyle w:val="Strong"/>
                <w:color w:val="333333"/>
                <w:sz w:val="28"/>
                <w:szCs w:val="28"/>
              </w:rPr>
              <w:t>Hóa đơn</w:t>
            </w:r>
          </w:p>
        </w:tc>
      </w:tr>
      <w:tr w:rsidR="00033E99" w:rsidRPr="00033E99" w14:paraId="0E1878AA" w14:textId="77777777" w:rsidTr="00033E99">
        <w:trPr>
          <w:tblCellSpacing w:w="0" w:type="dxa"/>
        </w:trPr>
        <w:tc>
          <w:tcPr>
            <w:tcW w:w="0" w:type="auto"/>
            <w:vAlign w:val="center"/>
            <w:hideMark/>
          </w:tcPr>
          <w:p w14:paraId="1A23BF2D" w14:textId="77777777" w:rsidR="00033E99" w:rsidRPr="00033E99" w:rsidRDefault="00033E99">
            <w:pPr>
              <w:pStyle w:val="NormalWeb"/>
              <w:jc w:val="center"/>
              <w:rPr>
                <w:color w:val="333333"/>
                <w:sz w:val="28"/>
                <w:szCs w:val="28"/>
              </w:rPr>
            </w:pPr>
            <w:r w:rsidRPr="00033E99">
              <w:rPr>
                <w:color w:val="333333"/>
                <w:sz w:val="28"/>
                <w:szCs w:val="28"/>
              </w:rPr>
              <w:t>4</w:t>
            </w:r>
          </w:p>
        </w:tc>
        <w:tc>
          <w:tcPr>
            <w:tcW w:w="2955" w:type="dxa"/>
            <w:vAlign w:val="center"/>
            <w:hideMark/>
          </w:tcPr>
          <w:p w14:paraId="6869DDF6" w14:textId="77777777" w:rsidR="00033E99" w:rsidRPr="00033E99" w:rsidRDefault="00033E99">
            <w:pPr>
              <w:pStyle w:val="NormalWeb"/>
              <w:rPr>
                <w:color w:val="333333"/>
                <w:sz w:val="28"/>
                <w:szCs w:val="28"/>
              </w:rPr>
            </w:pPr>
            <w:r w:rsidRPr="00033E99">
              <w:rPr>
                <w:color w:val="333333"/>
                <w:sz w:val="28"/>
                <w:szCs w:val="28"/>
              </w:rPr>
              <w:t>Công văn </w:t>
            </w:r>
            <w:hyperlink r:id="rId9" w:history="1">
              <w:r w:rsidRPr="00033E99">
                <w:rPr>
                  <w:rStyle w:val="Hyperlink"/>
                  <w:color w:val="0782C1"/>
                  <w:sz w:val="28"/>
                  <w:szCs w:val="28"/>
                </w:rPr>
                <w:t>3981/TCT-DNNCN</w:t>
              </w:r>
            </w:hyperlink>
            <w:r w:rsidRPr="00033E99">
              <w:rPr>
                <w:color w:val="333333"/>
                <w:sz w:val="28"/>
                <w:szCs w:val="28"/>
              </w:rPr>
              <w:t> của Tổng cục Thuế về việc tiếp tục triển khai Chương trình " Hóa đơn may mắn"</w:t>
            </w:r>
          </w:p>
        </w:tc>
        <w:tc>
          <w:tcPr>
            <w:tcW w:w="0" w:type="auto"/>
            <w:vAlign w:val="center"/>
            <w:hideMark/>
          </w:tcPr>
          <w:p w14:paraId="4075248C" w14:textId="77777777" w:rsidR="00033E99" w:rsidRPr="00033E99" w:rsidRDefault="00033E99">
            <w:pPr>
              <w:pStyle w:val="NormalWeb"/>
              <w:rPr>
                <w:color w:val="333333"/>
                <w:sz w:val="28"/>
                <w:szCs w:val="28"/>
              </w:rPr>
            </w:pPr>
            <w:r w:rsidRPr="00033E99">
              <w:rPr>
                <w:color w:val="333333"/>
                <w:sz w:val="28"/>
                <w:szCs w:val="28"/>
              </w:rPr>
              <w:t>Hướng dẫn thời điểm tổ chức lựa chọn “hóa đơn may mắn”.</w:t>
            </w:r>
          </w:p>
          <w:p w14:paraId="6907E433" w14:textId="77777777" w:rsidR="00033E99" w:rsidRPr="00033E99" w:rsidRDefault="00033E99">
            <w:pPr>
              <w:pStyle w:val="NormalWeb"/>
              <w:rPr>
                <w:color w:val="333333"/>
                <w:sz w:val="28"/>
                <w:szCs w:val="28"/>
              </w:rPr>
            </w:pPr>
            <w:r w:rsidRPr="00033E99">
              <w:rPr>
                <w:color w:val="333333"/>
                <w:sz w:val="28"/>
                <w:szCs w:val="28"/>
              </w:rPr>
              <w:t>Căn cứ xác định cá nhân, hộ kinh doanh đủ điều kiện nhận thưởng:</w:t>
            </w:r>
          </w:p>
          <w:p w14:paraId="6ECA7475" w14:textId="77777777" w:rsidR="00033E99" w:rsidRPr="00033E99" w:rsidRDefault="00033E99">
            <w:pPr>
              <w:pStyle w:val="NormalWeb"/>
              <w:rPr>
                <w:color w:val="333333"/>
                <w:sz w:val="28"/>
                <w:szCs w:val="28"/>
              </w:rPr>
            </w:pPr>
            <w:r w:rsidRPr="00033E99">
              <w:rPr>
                <w:color w:val="333333"/>
                <w:sz w:val="28"/>
                <w:szCs w:val="28"/>
              </w:rPr>
              <w:t>- Sau khi cơ quan thuế lựa chọn được “Hóa đơn may mắn” thì căn cứ để xác định cá nhân, hộ kinh doanh nhận thưởng là Chứng minh nhân dân/Căn cước công dân/Hộ chiếu theo thông tin đăng ký thuế.</w:t>
            </w:r>
          </w:p>
          <w:p w14:paraId="67E296FA" w14:textId="77777777" w:rsidR="00033E99" w:rsidRPr="00033E99" w:rsidRDefault="00033E99">
            <w:pPr>
              <w:pStyle w:val="NormalWeb"/>
              <w:rPr>
                <w:color w:val="333333"/>
                <w:sz w:val="28"/>
                <w:szCs w:val="28"/>
              </w:rPr>
            </w:pPr>
            <w:r w:rsidRPr="00033E99">
              <w:rPr>
                <w:color w:val="333333"/>
                <w:sz w:val="28"/>
                <w:szCs w:val="28"/>
              </w:rPr>
              <w:t>- Trường hợp không còn lưu giữ các giấy tờ trên thì có thể sử dụng các giấy tờ tùy thân khác.</w:t>
            </w:r>
          </w:p>
          <w:p w14:paraId="7AC6D300" w14:textId="77777777" w:rsidR="00033E99" w:rsidRPr="00033E99" w:rsidRDefault="00033E99">
            <w:pPr>
              <w:rPr>
                <w:rFonts w:ascii="Times New Roman" w:hAnsi="Times New Roman" w:cs="Times New Roman"/>
                <w:color w:val="333333"/>
                <w:sz w:val="28"/>
                <w:szCs w:val="28"/>
              </w:rPr>
            </w:pPr>
            <w:r w:rsidRPr="00033E99">
              <w:rPr>
                <w:rFonts w:ascii="Times New Roman" w:hAnsi="Times New Roman" w:cs="Times New Roman"/>
                <w:color w:val="333333"/>
                <w:sz w:val="28"/>
                <w:szCs w:val="28"/>
              </w:rPr>
              <w:t xml:space="preserve">- Cá nhân, hộ kinh doanh không đến nhận thưởng, không xuất trình được căn cứ xác định đủ điều kiện nhận </w:t>
            </w:r>
            <w:r w:rsidRPr="00033E99">
              <w:rPr>
                <w:rFonts w:ascii="Times New Roman" w:hAnsi="Times New Roman" w:cs="Times New Roman"/>
                <w:color w:val="333333"/>
                <w:sz w:val="28"/>
                <w:szCs w:val="28"/>
              </w:rPr>
              <w:lastRenderedPageBreak/>
              <w:t>thưởng, các hóa đơn trúng thưởng được cơ quan thuế xác định là không đủ điều kiện thì các giải thưởng tương ứng được xác định là không đủ điều kiện nhận thưởng. </w:t>
            </w:r>
          </w:p>
        </w:tc>
        <w:tc>
          <w:tcPr>
            <w:tcW w:w="0" w:type="auto"/>
            <w:vAlign w:val="center"/>
            <w:hideMark/>
          </w:tcPr>
          <w:p w14:paraId="3899B391" w14:textId="77777777" w:rsidR="00033E99" w:rsidRPr="00033E99" w:rsidRDefault="00033E99">
            <w:pPr>
              <w:pStyle w:val="NormalWeb"/>
              <w:jc w:val="center"/>
              <w:rPr>
                <w:color w:val="333333"/>
                <w:sz w:val="28"/>
                <w:szCs w:val="28"/>
              </w:rPr>
            </w:pPr>
            <w:r w:rsidRPr="00033E99">
              <w:rPr>
                <w:color w:val="333333"/>
                <w:sz w:val="28"/>
                <w:szCs w:val="28"/>
              </w:rPr>
              <w:lastRenderedPageBreak/>
              <w:t>28/10/2022</w:t>
            </w:r>
          </w:p>
          <w:p w14:paraId="7B8A9238" w14:textId="77777777" w:rsidR="00033E99" w:rsidRPr="00033E99" w:rsidRDefault="00033E99">
            <w:pPr>
              <w:pStyle w:val="NormalWeb"/>
              <w:jc w:val="center"/>
              <w:rPr>
                <w:color w:val="333333"/>
                <w:sz w:val="28"/>
                <w:szCs w:val="28"/>
              </w:rPr>
            </w:pPr>
          </w:p>
        </w:tc>
      </w:tr>
      <w:tr w:rsidR="00033E99" w:rsidRPr="00033E99" w14:paraId="4E3C4BC7" w14:textId="77777777" w:rsidTr="00033E99">
        <w:trPr>
          <w:tblCellSpacing w:w="0" w:type="dxa"/>
        </w:trPr>
        <w:tc>
          <w:tcPr>
            <w:tcW w:w="8421" w:type="dxa"/>
            <w:gridSpan w:val="4"/>
            <w:vAlign w:val="center"/>
            <w:hideMark/>
          </w:tcPr>
          <w:p w14:paraId="5BD9D139" w14:textId="77777777" w:rsidR="00033E99" w:rsidRPr="00033E99" w:rsidRDefault="00033E99">
            <w:pPr>
              <w:pStyle w:val="NormalWeb"/>
              <w:jc w:val="center"/>
              <w:rPr>
                <w:color w:val="333333"/>
                <w:sz w:val="28"/>
                <w:szCs w:val="28"/>
              </w:rPr>
            </w:pPr>
            <w:r w:rsidRPr="00033E99">
              <w:rPr>
                <w:rStyle w:val="Strong"/>
                <w:color w:val="333333"/>
                <w:sz w:val="28"/>
                <w:szCs w:val="28"/>
              </w:rPr>
              <w:t>Tài chính - ngân hàng</w:t>
            </w:r>
          </w:p>
        </w:tc>
      </w:tr>
      <w:tr w:rsidR="00033E99" w:rsidRPr="00033E99" w14:paraId="00830F0B" w14:textId="77777777" w:rsidTr="00033E99">
        <w:trPr>
          <w:tblCellSpacing w:w="0" w:type="dxa"/>
        </w:trPr>
        <w:tc>
          <w:tcPr>
            <w:tcW w:w="0" w:type="auto"/>
            <w:vAlign w:val="center"/>
            <w:hideMark/>
          </w:tcPr>
          <w:p w14:paraId="7A33E37C" w14:textId="77777777" w:rsidR="00033E99" w:rsidRPr="00033E99" w:rsidRDefault="00033E99">
            <w:pPr>
              <w:pStyle w:val="NormalWeb"/>
              <w:jc w:val="center"/>
              <w:rPr>
                <w:color w:val="333333"/>
                <w:sz w:val="28"/>
                <w:szCs w:val="28"/>
              </w:rPr>
            </w:pPr>
            <w:r w:rsidRPr="00033E99">
              <w:rPr>
                <w:color w:val="333333"/>
                <w:sz w:val="28"/>
                <w:szCs w:val="28"/>
              </w:rPr>
              <w:t>5</w:t>
            </w:r>
          </w:p>
        </w:tc>
        <w:tc>
          <w:tcPr>
            <w:tcW w:w="2955" w:type="dxa"/>
            <w:vAlign w:val="center"/>
            <w:hideMark/>
          </w:tcPr>
          <w:p w14:paraId="33AB1637" w14:textId="77777777" w:rsidR="00033E99" w:rsidRPr="00033E99" w:rsidRDefault="00033E99">
            <w:pPr>
              <w:pStyle w:val="NormalWeb"/>
              <w:rPr>
                <w:color w:val="333333"/>
                <w:sz w:val="28"/>
                <w:szCs w:val="28"/>
              </w:rPr>
            </w:pPr>
            <w:r w:rsidRPr="00033E99">
              <w:rPr>
                <w:color w:val="333333"/>
                <w:sz w:val="28"/>
                <w:szCs w:val="28"/>
              </w:rPr>
              <w:t>Thông báo </w:t>
            </w:r>
            <w:hyperlink r:id="rId10" w:history="1">
              <w:r w:rsidRPr="00033E99">
                <w:rPr>
                  <w:rStyle w:val="Hyperlink"/>
                  <w:color w:val="0782C1"/>
                  <w:sz w:val="28"/>
                  <w:szCs w:val="28"/>
                </w:rPr>
                <w:t>5543/TB-KBNN</w:t>
              </w:r>
            </w:hyperlink>
            <w:r w:rsidRPr="00033E99">
              <w:rPr>
                <w:color w:val="333333"/>
                <w:sz w:val="28"/>
                <w:szCs w:val="28"/>
              </w:rPr>
              <w:t> của Kho bạc Nhà nước về tỷ giá hạch toán ngoại tệ tháng 11 năm 2022</w:t>
            </w:r>
          </w:p>
        </w:tc>
        <w:tc>
          <w:tcPr>
            <w:tcW w:w="0" w:type="auto"/>
            <w:vAlign w:val="center"/>
            <w:hideMark/>
          </w:tcPr>
          <w:p w14:paraId="458013B9" w14:textId="77777777" w:rsidR="00033E99" w:rsidRPr="00033E99" w:rsidRDefault="00033E99">
            <w:pPr>
              <w:pStyle w:val="NormalWeb"/>
              <w:rPr>
                <w:color w:val="333333"/>
                <w:sz w:val="28"/>
                <w:szCs w:val="28"/>
              </w:rPr>
            </w:pPr>
            <w:r w:rsidRPr="00033E99">
              <w:rPr>
                <w:color w:val="333333"/>
                <w:sz w:val="28"/>
                <w:szCs w:val="28"/>
              </w:rPr>
              <w:t>Ngân hàng Nhà nước thông báo tỷ giá hạch toán ngoại tệ tháng 11/2022, trong đó: </w:t>
            </w:r>
          </w:p>
          <w:p w14:paraId="5D816E95" w14:textId="77777777" w:rsidR="00033E99" w:rsidRPr="00033E99" w:rsidRDefault="00033E99">
            <w:pPr>
              <w:pStyle w:val="NormalWeb"/>
              <w:rPr>
                <w:color w:val="333333"/>
                <w:sz w:val="28"/>
                <w:szCs w:val="28"/>
              </w:rPr>
            </w:pPr>
            <w:r w:rsidRPr="00033E99">
              <w:rPr>
                <w:color w:val="333333"/>
                <w:sz w:val="28"/>
                <w:szCs w:val="28"/>
              </w:rPr>
              <w:t>- 1 USD = 23.559 đồng</w:t>
            </w:r>
          </w:p>
          <w:p w14:paraId="497C23D1" w14:textId="77777777" w:rsidR="00033E99" w:rsidRPr="00033E99" w:rsidRDefault="00033E99">
            <w:pPr>
              <w:pStyle w:val="NormalWeb"/>
              <w:rPr>
                <w:color w:val="333333"/>
                <w:sz w:val="28"/>
                <w:szCs w:val="28"/>
              </w:rPr>
            </w:pPr>
            <w:r w:rsidRPr="00033E99">
              <w:rPr>
                <w:color w:val="333333"/>
                <w:sz w:val="28"/>
                <w:szCs w:val="28"/>
              </w:rPr>
              <w:t>- 1 EUR = 23.064 đồng</w:t>
            </w:r>
          </w:p>
        </w:tc>
        <w:tc>
          <w:tcPr>
            <w:tcW w:w="0" w:type="auto"/>
            <w:vAlign w:val="center"/>
            <w:hideMark/>
          </w:tcPr>
          <w:p w14:paraId="3A76F306" w14:textId="77777777" w:rsidR="00033E99" w:rsidRPr="00033E99" w:rsidRDefault="00033E99">
            <w:pPr>
              <w:pStyle w:val="NormalWeb"/>
              <w:rPr>
                <w:color w:val="333333"/>
                <w:sz w:val="28"/>
                <w:szCs w:val="28"/>
              </w:rPr>
            </w:pPr>
            <w:r w:rsidRPr="00033E99">
              <w:rPr>
                <w:color w:val="333333"/>
                <w:sz w:val="28"/>
                <w:szCs w:val="28"/>
              </w:rPr>
              <w:t>31/10/2022</w:t>
            </w:r>
          </w:p>
          <w:p w14:paraId="00560ED1" w14:textId="77777777" w:rsidR="00033E99" w:rsidRPr="00033E99" w:rsidRDefault="00033E99">
            <w:pPr>
              <w:pStyle w:val="NormalWeb"/>
              <w:jc w:val="center"/>
              <w:rPr>
                <w:color w:val="333333"/>
                <w:sz w:val="28"/>
                <w:szCs w:val="28"/>
              </w:rPr>
            </w:pPr>
          </w:p>
        </w:tc>
      </w:tr>
      <w:tr w:rsidR="00033E99" w:rsidRPr="00033E99" w14:paraId="11A5103F" w14:textId="77777777" w:rsidTr="00033E99">
        <w:trPr>
          <w:tblCellSpacing w:w="0" w:type="dxa"/>
        </w:trPr>
        <w:tc>
          <w:tcPr>
            <w:tcW w:w="0" w:type="auto"/>
            <w:vAlign w:val="center"/>
            <w:hideMark/>
          </w:tcPr>
          <w:p w14:paraId="3EE4C56E" w14:textId="77777777" w:rsidR="00033E99" w:rsidRPr="00033E99" w:rsidRDefault="00033E99">
            <w:pPr>
              <w:pStyle w:val="NormalWeb"/>
              <w:jc w:val="center"/>
              <w:rPr>
                <w:color w:val="333333"/>
                <w:sz w:val="28"/>
                <w:szCs w:val="28"/>
              </w:rPr>
            </w:pPr>
            <w:r w:rsidRPr="00033E99">
              <w:rPr>
                <w:color w:val="333333"/>
                <w:sz w:val="28"/>
                <w:szCs w:val="28"/>
              </w:rPr>
              <w:t>6</w:t>
            </w:r>
          </w:p>
        </w:tc>
        <w:tc>
          <w:tcPr>
            <w:tcW w:w="2955" w:type="dxa"/>
            <w:vAlign w:val="center"/>
            <w:hideMark/>
          </w:tcPr>
          <w:p w14:paraId="6976EA28" w14:textId="77777777" w:rsidR="00033E99" w:rsidRPr="00033E99" w:rsidRDefault="00033E99">
            <w:pPr>
              <w:pStyle w:val="NormalWeb"/>
              <w:rPr>
                <w:color w:val="333333"/>
                <w:sz w:val="28"/>
                <w:szCs w:val="28"/>
              </w:rPr>
            </w:pPr>
            <w:r w:rsidRPr="00033E99">
              <w:rPr>
                <w:color w:val="333333"/>
                <w:sz w:val="28"/>
                <w:szCs w:val="28"/>
              </w:rPr>
              <w:t>Công văn </w:t>
            </w:r>
            <w:hyperlink r:id="rId11" w:history="1">
              <w:r w:rsidRPr="00033E99">
                <w:rPr>
                  <w:rStyle w:val="Hyperlink"/>
                  <w:color w:val="0782C1"/>
                  <w:sz w:val="28"/>
                  <w:szCs w:val="28"/>
                </w:rPr>
                <w:t>91/KBNN-KTNN</w:t>
              </w:r>
            </w:hyperlink>
            <w:r w:rsidRPr="00033E99">
              <w:rPr>
                <w:color w:val="333333"/>
                <w:sz w:val="28"/>
                <w:szCs w:val="28"/>
              </w:rPr>
              <w:t> của Kho bạc Nhà nước về việc cung cấp danh sách các ngân hàng thương mại nơi kho bạc Nhà nước mở tài khoản</w:t>
            </w:r>
          </w:p>
        </w:tc>
        <w:tc>
          <w:tcPr>
            <w:tcW w:w="0" w:type="auto"/>
            <w:vAlign w:val="center"/>
            <w:hideMark/>
          </w:tcPr>
          <w:p w14:paraId="1201F3D9" w14:textId="77777777" w:rsidR="00033E99" w:rsidRPr="00033E99" w:rsidRDefault="00033E99">
            <w:pPr>
              <w:pStyle w:val="NormalWeb"/>
              <w:rPr>
                <w:color w:val="333333"/>
                <w:sz w:val="28"/>
                <w:szCs w:val="28"/>
              </w:rPr>
            </w:pPr>
            <w:r w:rsidRPr="00033E99">
              <w:rPr>
                <w:color w:val="333333"/>
                <w:sz w:val="28"/>
                <w:szCs w:val="28"/>
              </w:rPr>
              <w:t>Danh sách tài khoản ngân hàng của kho bạc Nhà nước mở tại các ngân hàng thương mại: </w:t>
            </w:r>
          </w:p>
          <w:p w14:paraId="6FF49436" w14:textId="77777777" w:rsidR="00033E99" w:rsidRPr="00033E99" w:rsidRDefault="00033E99">
            <w:pPr>
              <w:pStyle w:val="NormalWeb"/>
              <w:rPr>
                <w:color w:val="333333"/>
                <w:sz w:val="28"/>
                <w:szCs w:val="28"/>
              </w:rPr>
            </w:pPr>
            <w:r w:rsidRPr="00033E99">
              <w:rPr>
                <w:color w:val="333333"/>
                <w:sz w:val="28"/>
                <w:szCs w:val="28"/>
              </w:rPr>
              <w:t>- Ngân hàng HDBank chi nhánh Bến Tre, Đà Nẵng;</w:t>
            </w:r>
          </w:p>
          <w:p w14:paraId="14E6C74B" w14:textId="77777777" w:rsidR="00033E99" w:rsidRPr="00033E99" w:rsidRDefault="00033E99">
            <w:pPr>
              <w:pStyle w:val="NormalWeb"/>
              <w:rPr>
                <w:color w:val="333333"/>
                <w:sz w:val="28"/>
                <w:szCs w:val="28"/>
              </w:rPr>
            </w:pPr>
            <w:r w:rsidRPr="00033E99">
              <w:rPr>
                <w:color w:val="333333"/>
                <w:sz w:val="28"/>
                <w:szCs w:val="28"/>
              </w:rPr>
              <w:t>- Ngân hàng MSB chi nhánh Thành phố Hồ Chí Minh;</w:t>
            </w:r>
          </w:p>
          <w:p w14:paraId="74783C78" w14:textId="77777777" w:rsidR="00033E99" w:rsidRPr="00033E99" w:rsidRDefault="00033E99">
            <w:pPr>
              <w:pStyle w:val="NormalWeb"/>
              <w:rPr>
                <w:color w:val="333333"/>
                <w:sz w:val="28"/>
                <w:szCs w:val="28"/>
              </w:rPr>
            </w:pPr>
            <w:r w:rsidRPr="00033E99">
              <w:rPr>
                <w:color w:val="333333"/>
                <w:sz w:val="28"/>
                <w:szCs w:val="28"/>
              </w:rPr>
              <w:t>- Ngân hành BIDV chi nhánh Phú Thọ.</w:t>
            </w:r>
          </w:p>
        </w:tc>
        <w:tc>
          <w:tcPr>
            <w:tcW w:w="0" w:type="auto"/>
            <w:vAlign w:val="center"/>
            <w:hideMark/>
          </w:tcPr>
          <w:p w14:paraId="43B4B896" w14:textId="77777777" w:rsidR="00033E99" w:rsidRPr="00033E99" w:rsidRDefault="00033E99">
            <w:pPr>
              <w:pStyle w:val="NormalWeb"/>
              <w:jc w:val="center"/>
              <w:rPr>
                <w:color w:val="333333"/>
                <w:sz w:val="28"/>
                <w:szCs w:val="28"/>
              </w:rPr>
            </w:pPr>
            <w:r w:rsidRPr="00033E99">
              <w:rPr>
                <w:color w:val="333333"/>
                <w:sz w:val="28"/>
                <w:szCs w:val="28"/>
              </w:rPr>
              <w:t>01/11/2022</w:t>
            </w:r>
          </w:p>
          <w:p w14:paraId="071A290A" w14:textId="77777777" w:rsidR="00033E99" w:rsidRPr="00033E99" w:rsidRDefault="00033E99">
            <w:pPr>
              <w:pStyle w:val="NormalWeb"/>
              <w:jc w:val="center"/>
              <w:rPr>
                <w:color w:val="333333"/>
                <w:sz w:val="28"/>
                <w:szCs w:val="28"/>
              </w:rPr>
            </w:pPr>
          </w:p>
        </w:tc>
      </w:tr>
      <w:tr w:rsidR="00033E99" w:rsidRPr="00033E99" w14:paraId="0EC6CC4E" w14:textId="77777777" w:rsidTr="00033E99">
        <w:trPr>
          <w:tblCellSpacing w:w="0" w:type="dxa"/>
        </w:trPr>
        <w:tc>
          <w:tcPr>
            <w:tcW w:w="0" w:type="auto"/>
            <w:vAlign w:val="center"/>
            <w:hideMark/>
          </w:tcPr>
          <w:p w14:paraId="046CE96D" w14:textId="77777777" w:rsidR="00033E99" w:rsidRPr="00033E99" w:rsidRDefault="00033E99">
            <w:pPr>
              <w:pStyle w:val="NormalWeb"/>
              <w:jc w:val="center"/>
              <w:rPr>
                <w:color w:val="333333"/>
                <w:sz w:val="28"/>
                <w:szCs w:val="28"/>
              </w:rPr>
            </w:pPr>
            <w:r w:rsidRPr="00033E99">
              <w:rPr>
                <w:color w:val="333333"/>
                <w:sz w:val="28"/>
                <w:szCs w:val="28"/>
              </w:rPr>
              <w:t>7</w:t>
            </w:r>
          </w:p>
        </w:tc>
        <w:tc>
          <w:tcPr>
            <w:tcW w:w="2955" w:type="dxa"/>
            <w:vAlign w:val="center"/>
            <w:hideMark/>
          </w:tcPr>
          <w:p w14:paraId="6143B856" w14:textId="77777777" w:rsidR="00033E99" w:rsidRPr="00033E99" w:rsidRDefault="00033E99">
            <w:pPr>
              <w:pStyle w:val="NormalWeb"/>
              <w:rPr>
                <w:color w:val="333333"/>
                <w:sz w:val="28"/>
                <w:szCs w:val="28"/>
              </w:rPr>
            </w:pPr>
            <w:r w:rsidRPr="00033E99">
              <w:rPr>
                <w:color w:val="333333"/>
                <w:sz w:val="28"/>
                <w:szCs w:val="28"/>
              </w:rPr>
              <w:t>Quyết định </w:t>
            </w:r>
            <w:hyperlink r:id="rId12" w:history="1">
              <w:r w:rsidRPr="00033E99">
                <w:rPr>
                  <w:rStyle w:val="Hyperlink"/>
                  <w:color w:val="0782C1"/>
                  <w:sz w:val="28"/>
                  <w:szCs w:val="28"/>
                </w:rPr>
                <w:t>1361/QĐ-TTg</w:t>
              </w:r>
            </w:hyperlink>
            <w:r w:rsidRPr="00033E99">
              <w:rPr>
                <w:color w:val="333333"/>
                <w:sz w:val="28"/>
                <w:szCs w:val="28"/>
              </w:rPr>
              <w:t> của Thủ tướng Chính phủ về việc phê duyệt Phương án cắt giảm, đơn giản hóa quy định liên quan đến hoạt động kinh doanh thuộc phạm vi chức năng quản lý của Ngân hàng Nhà nước Việt Nam</w:t>
            </w:r>
          </w:p>
          <w:p w14:paraId="7E03AEDA" w14:textId="77777777" w:rsidR="00033E99" w:rsidRPr="00033E99" w:rsidRDefault="00033E99">
            <w:pPr>
              <w:pStyle w:val="NormalWeb"/>
              <w:rPr>
                <w:color w:val="333333"/>
                <w:sz w:val="28"/>
                <w:szCs w:val="28"/>
              </w:rPr>
            </w:pPr>
          </w:p>
        </w:tc>
        <w:tc>
          <w:tcPr>
            <w:tcW w:w="0" w:type="auto"/>
            <w:vAlign w:val="center"/>
            <w:hideMark/>
          </w:tcPr>
          <w:p w14:paraId="6E57EBCF" w14:textId="77777777" w:rsidR="00033E99" w:rsidRPr="00033E99" w:rsidRDefault="00033E99">
            <w:pPr>
              <w:pStyle w:val="NormalWeb"/>
              <w:rPr>
                <w:color w:val="333333"/>
                <w:sz w:val="28"/>
                <w:szCs w:val="28"/>
              </w:rPr>
            </w:pPr>
            <w:r w:rsidRPr="00033E99">
              <w:rPr>
                <w:color w:val="333333"/>
                <w:sz w:val="28"/>
                <w:szCs w:val="28"/>
              </w:rPr>
              <w:t>Phương án cắt giảm, đơn giản hóa các chế độ, thủ tục:</w:t>
            </w:r>
          </w:p>
          <w:p w14:paraId="3DFE65E7" w14:textId="77777777" w:rsidR="00033E99" w:rsidRPr="00033E99" w:rsidRDefault="00033E99">
            <w:pPr>
              <w:pStyle w:val="NormalWeb"/>
              <w:rPr>
                <w:color w:val="333333"/>
                <w:sz w:val="28"/>
                <w:szCs w:val="28"/>
              </w:rPr>
            </w:pPr>
            <w:r w:rsidRPr="00033E99">
              <w:rPr>
                <w:color w:val="333333"/>
                <w:sz w:val="28"/>
                <w:szCs w:val="28"/>
              </w:rPr>
              <w:t>- 03 chế độ báo cáo liên quan đến hoạt động kinh doanh của Ngân hàng Hợp tác xã, Quỹ tín dụng nhân dân, tổ chức tài chính vi mô;</w:t>
            </w:r>
          </w:p>
          <w:p w14:paraId="63981294" w14:textId="77777777" w:rsidR="00033E99" w:rsidRPr="00033E99" w:rsidRDefault="00033E99">
            <w:pPr>
              <w:pStyle w:val="NormalWeb"/>
              <w:rPr>
                <w:color w:val="333333"/>
                <w:sz w:val="28"/>
                <w:szCs w:val="28"/>
              </w:rPr>
            </w:pPr>
            <w:r w:rsidRPr="00033E99">
              <w:rPr>
                <w:color w:val="333333"/>
                <w:sz w:val="28"/>
                <w:szCs w:val="28"/>
              </w:rPr>
              <w:t>- 01 thủ tục hành chính liên quan đến hoạt động vay trả nợ nước ngoài;</w:t>
            </w:r>
          </w:p>
          <w:p w14:paraId="5C0D926D" w14:textId="77777777" w:rsidR="00033E99" w:rsidRPr="00033E99" w:rsidRDefault="00033E99">
            <w:pPr>
              <w:pStyle w:val="NormalWeb"/>
              <w:rPr>
                <w:color w:val="333333"/>
                <w:sz w:val="28"/>
                <w:szCs w:val="28"/>
              </w:rPr>
            </w:pPr>
            <w:r w:rsidRPr="00033E99">
              <w:rPr>
                <w:color w:val="333333"/>
                <w:sz w:val="28"/>
                <w:szCs w:val="28"/>
              </w:rPr>
              <w:t>- 01 chế độ báo cáo liên quan đến hoạt động kinh doanh của các ngân hàng thương mại;</w:t>
            </w:r>
          </w:p>
          <w:p w14:paraId="0FB75790" w14:textId="77777777" w:rsidR="00033E99" w:rsidRPr="00033E99" w:rsidRDefault="00033E99">
            <w:pPr>
              <w:pStyle w:val="NormalWeb"/>
              <w:rPr>
                <w:color w:val="333333"/>
                <w:sz w:val="28"/>
                <w:szCs w:val="28"/>
              </w:rPr>
            </w:pPr>
            <w:r w:rsidRPr="00033E99">
              <w:rPr>
                <w:color w:val="333333"/>
                <w:sz w:val="28"/>
                <w:szCs w:val="28"/>
              </w:rPr>
              <w:t>- 01 chế độ báo cáo liên quan đến hoạt động thanh toán.</w:t>
            </w:r>
          </w:p>
        </w:tc>
        <w:tc>
          <w:tcPr>
            <w:tcW w:w="0" w:type="auto"/>
            <w:vAlign w:val="center"/>
            <w:hideMark/>
          </w:tcPr>
          <w:p w14:paraId="07A6DB60" w14:textId="77777777" w:rsidR="00033E99" w:rsidRPr="00033E99" w:rsidRDefault="00033E99">
            <w:pPr>
              <w:pStyle w:val="NormalWeb"/>
              <w:jc w:val="center"/>
              <w:rPr>
                <w:color w:val="333333"/>
                <w:sz w:val="28"/>
                <w:szCs w:val="28"/>
              </w:rPr>
            </w:pPr>
            <w:r w:rsidRPr="00033E99">
              <w:rPr>
                <w:color w:val="333333"/>
                <w:sz w:val="28"/>
                <w:szCs w:val="28"/>
              </w:rPr>
              <w:t>08/11/2022</w:t>
            </w:r>
          </w:p>
          <w:p w14:paraId="273A9DDC" w14:textId="77777777" w:rsidR="00033E99" w:rsidRPr="00033E99" w:rsidRDefault="00033E99">
            <w:pPr>
              <w:pStyle w:val="NormalWeb"/>
              <w:jc w:val="center"/>
              <w:rPr>
                <w:color w:val="333333"/>
                <w:sz w:val="28"/>
                <w:szCs w:val="28"/>
              </w:rPr>
            </w:pPr>
          </w:p>
        </w:tc>
      </w:tr>
    </w:tbl>
    <w:p w14:paraId="71EC53D1" w14:textId="77777777" w:rsidR="00490C88" w:rsidRPr="00033E99" w:rsidRDefault="00490C88">
      <w:pPr>
        <w:rPr>
          <w:rFonts w:ascii="Times New Roman" w:hAnsi="Times New Roman" w:cs="Times New Roman"/>
          <w:sz w:val="28"/>
          <w:szCs w:val="28"/>
        </w:rPr>
      </w:pPr>
    </w:p>
    <w:sectPr w:rsidR="00490C88" w:rsidRPr="00033E9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1FC4" w14:textId="77777777" w:rsidR="00500327" w:rsidRDefault="00500327" w:rsidP="00D961B5">
      <w:pPr>
        <w:spacing w:after="0" w:line="240" w:lineRule="auto"/>
      </w:pPr>
      <w:r>
        <w:separator/>
      </w:r>
    </w:p>
  </w:endnote>
  <w:endnote w:type="continuationSeparator" w:id="0">
    <w:p w14:paraId="27890CA7" w14:textId="77777777" w:rsidR="00500327" w:rsidRDefault="00500327" w:rsidP="00D9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EC0F" w14:textId="77777777" w:rsidR="00500327" w:rsidRDefault="00500327" w:rsidP="00D961B5">
      <w:pPr>
        <w:spacing w:after="0" w:line="240" w:lineRule="auto"/>
      </w:pPr>
      <w:r>
        <w:separator/>
      </w:r>
    </w:p>
  </w:footnote>
  <w:footnote w:type="continuationSeparator" w:id="0">
    <w:p w14:paraId="3DE4AB1B" w14:textId="77777777" w:rsidR="00500327" w:rsidRDefault="00500327" w:rsidP="00D96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F9"/>
    <w:rsid w:val="00033E99"/>
    <w:rsid w:val="0029392C"/>
    <w:rsid w:val="00490C88"/>
    <w:rsid w:val="00500327"/>
    <w:rsid w:val="005216ED"/>
    <w:rsid w:val="007B7C11"/>
    <w:rsid w:val="00992ED2"/>
    <w:rsid w:val="00D84523"/>
    <w:rsid w:val="00D961B5"/>
    <w:rsid w:val="00F42AF9"/>
    <w:rsid w:val="00FF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FEA"/>
  <w15:chartTrackingRefBased/>
  <w15:docId w15:val="{FDE8F47E-89E5-4D50-9F18-545BAF2A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0C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B5"/>
  </w:style>
  <w:style w:type="paragraph" w:styleId="Footer">
    <w:name w:val="footer"/>
    <w:basedOn w:val="Normal"/>
    <w:link w:val="FooterChar"/>
    <w:uiPriority w:val="99"/>
    <w:unhideWhenUsed/>
    <w:rsid w:val="00D9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B5"/>
  </w:style>
  <w:style w:type="table" w:styleId="TableGrid">
    <w:name w:val="Table Grid"/>
    <w:basedOn w:val="TableNormal"/>
    <w:uiPriority w:val="3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0C8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90C88"/>
    <w:rPr>
      <w:b/>
      <w:bCs/>
    </w:rPr>
  </w:style>
  <w:style w:type="character" w:customStyle="1" w:styleId="Heading1Char">
    <w:name w:val="Heading 1 Char"/>
    <w:basedOn w:val="DefaultParagraphFont"/>
    <w:link w:val="Heading1"/>
    <w:uiPriority w:val="9"/>
    <w:rsid w:val="00D845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4523"/>
    <w:rPr>
      <w:color w:val="0563C1" w:themeColor="hyperlink"/>
      <w:u w:val="single"/>
    </w:rPr>
  </w:style>
  <w:style w:type="character" w:styleId="UnresolvedMention">
    <w:name w:val="Unresolved Mention"/>
    <w:basedOn w:val="DefaultParagraphFont"/>
    <w:uiPriority w:val="99"/>
    <w:semiHidden/>
    <w:unhideWhenUsed/>
    <w:rsid w:val="00D84523"/>
    <w:rPr>
      <w:color w:val="605E5C"/>
      <w:shd w:val="clear" w:color="auto" w:fill="E1DFDD"/>
    </w:rPr>
  </w:style>
  <w:style w:type="paragraph" w:styleId="NormalWeb">
    <w:name w:val="Normal (Web)"/>
    <w:basedOn w:val="Normal"/>
    <w:uiPriority w:val="99"/>
    <w:unhideWhenUsed/>
    <w:rsid w:val="00992E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6385">
      <w:bodyDiv w:val="1"/>
      <w:marLeft w:val="0"/>
      <w:marRight w:val="0"/>
      <w:marTop w:val="0"/>
      <w:marBottom w:val="0"/>
      <w:divBdr>
        <w:top w:val="none" w:sz="0" w:space="0" w:color="auto"/>
        <w:left w:val="none" w:sz="0" w:space="0" w:color="auto"/>
        <w:bottom w:val="none" w:sz="0" w:space="0" w:color="auto"/>
        <w:right w:val="none" w:sz="0" w:space="0" w:color="auto"/>
      </w:divBdr>
    </w:div>
    <w:div w:id="65298851">
      <w:bodyDiv w:val="1"/>
      <w:marLeft w:val="0"/>
      <w:marRight w:val="0"/>
      <w:marTop w:val="0"/>
      <w:marBottom w:val="0"/>
      <w:divBdr>
        <w:top w:val="none" w:sz="0" w:space="0" w:color="auto"/>
        <w:left w:val="none" w:sz="0" w:space="0" w:color="auto"/>
        <w:bottom w:val="none" w:sz="0" w:space="0" w:color="auto"/>
        <w:right w:val="none" w:sz="0" w:space="0" w:color="auto"/>
      </w:divBdr>
    </w:div>
    <w:div w:id="264272645">
      <w:bodyDiv w:val="1"/>
      <w:marLeft w:val="0"/>
      <w:marRight w:val="0"/>
      <w:marTop w:val="0"/>
      <w:marBottom w:val="0"/>
      <w:divBdr>
        <w:top w:val="none" w:sz="0" w:space="0" w:color="auto"/>
        <w:left w:val="none" w:sz="0" w:space="0" w:color="auto"/>
        <w:bottom w:val="none" w:sz="0" w:space="0" w:color="auto"/>
        <w:right w:val="none" w:sz="0" w:space="0" w:color="auto"/>
      </w:divBdr>
      <w:divsChild>
        <w:div w:id="1638995826">
          <w:marLeft w:val="0"/>
          <w:marRight w:val="0"/>
          <w:marTop w:val="0"/>
          <w:marBottom w:val="240"/>
          <w:divBdr>
            <w:top w:val="none" w:sz="0" w:space="0" w:color="auto"/>
            <w:left w:val="none" w:sz="0" w:space="0" w:color="auto"/>
            <w:bottom w:val="none" w:sz="0" w:space="0" w:color="auto"/>
            <w:right w:val="none" w:sz="0" w:space="0" w:color="auto"/>
          </w:divBdr>
        </w:div>
      </w:divsChild>
    </w:div>
    <w:div w:id="322658321">
      <w:bodyDiv w:val="1"/>
      <w:marLeft w:val="0"/>
      <w:marRight w:val="0"/>
      <w:marTop w:val="0"/>
      <w:marBottom w:val="0"/>
      <w:divBdr>
        <w:top w:val="none" w:sz="0" w:space="0" w:color="auto"/>
        <w:left w:val="none" w:sz="0" w:space="0" w:color="auto"/>
        <w:bottom w:val="none" w:sz="0" w:space="0" w:color="auto"/>
        <w:right w:val="none" w:sz="0" w:space="0" w:color="auto"/>
      </w:divBdr>
    </w:div>
    <w:div w:id="416875710">
      <w:bodyDiv w:val="1"/>
      <w:marLeft w:val="0"/>
      <w:marRight w:val="0"/>
      <w:marTop w:val="0"/>
      <w:marBottom w:val="0"/>
      <w:divBdr>
        <w:top w:val="none" w:sz="0" w:space="0" w:color="auto"/>
        <w:left w:val="none" w:sz="0" w:space="0" w:color="auto"/>
        <w:bottom w:val="none" w:sz="0" w:space="0" w:color="auto"/>
        <w:right w:val="none" w:sz="0" w:space="0" w:color="auto"/>
      </w:divBdr>
      <w:divsChild>
        <w:div w:id="178739981">
          <w:marLeft w:val="0"/>
          <w:marRight w:val="0"/>
          <w:marTop w:val="0"/>
          <w:marBottom w:val="240"/>
          <w:divBdr>
            <w:top w:val="none" w:sz="0" w:space="0" w:color="auto"/>
            <w:left w:val="none" w:sz="0" w:space="0" w:color="auto"/>
            <w:bottom w:val="none" w:sz="0" w:space="0" w:color="auto"/>
            <w:right w:val="none" w:sz="0" w:space="0" w:color="auto"/>
          </w:divBdr>
        </w:div>
      </w:divsChild>
    </w:div>
    <w:div w:id="439568087">
      <w:bodyDiv w:val="1"/>
      <w:marLeft w:val="0"/>
      <w:marRight w:val="0"/>
      <w:marTop w:val="0"/>
      <w:marBottom w:val="0"/>
      <w:divBdr>
        <w:top w:val="none" w:sz="0" w:space="0" w:color="auto"/>
        <w:left w:val="none" w:sz="0" w:space="0" w:color="auto"/>
        <w:bottom w:val="none" w:sz="0" w:space="0" w:color="auto"/>
        <w:right w:val="none" w:sz="0" w:space="0" w:color="auto"/>
      </w:divBdr>
    </w:div>
    <w:div w:id="588738629">
      <w:bodyDiv w:val="1"/>
      <w:marLeft w:val="0"/>
      <w:marRight w:val="0"/>
      <w:marTop w:val="0"/>
      <w:marBottom w:val="0"/>
      <w:divBdr>
        <w:top w:val="none" w:sz="0" w:space="0" w:color="auto"/>
        <w:left w:val="none" w:sz="0" w:space="0" w:color="auto"/>
        <w:bottom w:val="none" w:sz="0" w:space="0" w:color="auto"/>
        <w:right w:val="none" w:sz="0" w:space="0" w:color="auto"/>
      </w:divBdr>
      <w:divsChild>
        <w:div w:id="1216938091">
          <w:marLeft w:val="0"/>
          <w:marRight w:val="0"/>
          <w:marTop w:val="0"/>
          <w:marBottom w:val="240"/>
          <w:divBdr>
            <w:top w:val="none" w:sz="0" w:space="0" w:color="auto"/>
            <w:left w:val="none" w:sz="0" w:space="0" w:color="auto"/>
            <w:bottom w:val="none" w:sz="0" w:space="0" w:color="auto"/>
            <w:right w:val="none" w:sz="0" w:space="0" w:color="auto"/>
          </w:divBdr>
        </w:div>
      </w:divsChild>
    </w:div>
    <w:div w:id="836380844">
      <w:bodyDiv w:val="1"/>
      <w:marLeft w:val="0"/>
      <w:marRight w:val="0"/>
      <w:marTop w:val="0"/>
      <w:marBottom w:val="0"/>
      <w:divBdr>
        <w:top w:val="none" w:sz="0" w:space="0" w:color="auto"/>
        <w:left w:val="none" w:sz="0" w:space="0" w:color="auto"/>
        <w:bottom w:val="none" w:sz="0" w:space="0" w:color="auto"/>
        <w:right w:val="none" w:sz="0" w:space="0" w:color="auto"/>
      </w:divBdr>
      <w:divsChild>
        <w:div w:id="789857142">
          <w:marLeft w:val="0"/>
          <w:marRight w:val="0"/>
          <w:marTop w:val="0"/>
          <w:marBottom w:val="240"/>
          <w:divBdr>
            <w:top w:val="none" w:sz="0" w:space="0" w:color="auto"/>
            <w:left w:val="none" w:sz="0" w:space="0" w:color="auto"/>
            <w:bottom w:val="none" w:sz="0" w:space="0" w:color="auto"/>
            <w:right w:val="none" w:sz="0" w:space="0" w:color="auto"/>
          </w:divBdr>
        </w:div>
      </w:divsChild>
    </w:div>
    <w:div w:id="943732898">
      <w:bodyDiv w:val="1"/>
      <w:marLeft w:val="0"/>
      <w:marRight w:val="0"/>
      <w:marTop w:val="0"/>
      <w:marBottom w:val="0"/>
      <w:divBdr>
        <w:top w:val="none" w:sz="0" w:space="0" w:color="auto"/>
        <w:left w:val="none" w:sz="0" w:space="0" w:color="auto"/>
        <w:bottom w:val="none" w:sz="0" w:space="0" w:color="auto"/>
        <w:right w:val="none" w:sz="0" w:space="0" w:color="auto"/>
      </w:divBdr>
      <w:divsChild>
        <w:div w:id="996301642">
          <w:marLeft w:val="0"/>
          <w:marRight w:val="0"/>
          <w:marTop w:val="0"/>
          <w:marBottom w:val="240"/>
          <w:divBdr>
            <w:top w:val="none" w:sz="0" w:space="0" w:color="auto"/>
            <w:left w:val="none" w:sz="0" w:space="0" w:color="auto"/>
            <w:bottom w:val="none" w:sz="0" w:space="0" w:color="auto"/>
            <w:right w:val="none" w:sz="0" w:space="0" w:color="auto"/>
          </w:divBdr>
        </w:div>
      </w:divsChild>
    </w:div>
    <w:div w:id="948849766">
      <w:bodyDiv w:val="1"/>
      <w:marLeft w:val="0"/>
      <w:marRight w:val="0"/>
      <w:marTop w:val="0"/>
      <w:marBottom w:val="0"/>
      <w:divBdr>
        <w:top w:val="none" w:sz="0" w:space="0" w:color="auto"/>
        <w:left w:val="none" w:sz="0" w:space="0" w:color="auto"/>
        <w:bottom w:val="none" w:sz="0" w:space="0" w:color="auto"/>
        <w:right w:val="none" w:sz="0" w:space="0" w:color="auto"/>
      </w:divBdr>
    </w:div>
    <w:div w:id="10442169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526">
          <w:marLeft w:val="0"/>
          <w:marRight w:val="0"/>
          <w:marTop w:val="0"/>
          <w:marBottom w:val="240"/>
          <w:divBdr>
            <w:top w:val="none" w:sz="0" w:space="0" w:color="auto"/>
            <w:left w:val="none" w:sz="0" w:space="0" w:color="auto"/>
            <w:bottom w:val="none" w:sz="0" w:space="0" w:color="auto"/>
            <w:right w:val="none" w:sz="0" w:space="0" w:color="auto"/>
          </w:divBdr>
        </w:div>
      </w:divsChild>
    </w:div>
    <w:div w:id="1096973610">
      <w:bodyDiv w:val="1"/>
      <w:marLeft w:val="0"/>
      <w:marRight w:val="0"/>
      <w:marTop w:val="0"/>
      <w:marBottom w:val="0"/>
      <w:divBdr>
        <w:top w:val="none" w:sz="0" w:space="0" w:color="auto"/>
        <w:left w:val="none" w:sz="0" w:space="0" w:color="auto"/>
        <w:bottom w:val="none" w:sz="0" w:space="0" w:color="auto"/>
        <w:right w:val="none" w:sz="0" w:space="0" w:color="auto"/>
      </w:divBdr>
    </w:div>
    <w:div w:id="1130316645">
      <w:bodyDiv w:val="1"/>
      <w:marLeft w:val="0"/>
      <w:marRight w:val="0"/>
      <w:marTop w:val="0"/>
      <w:marBottom w:val="0"/>
      <w:divBdr>
        <w:top w:val="none" w:sz="0" w:space="0" w:color="auto"/>
        <w:left w:val="none" w:sz="0" w:space="0" w:color="auto"/>
        <w:bottom w:val="none" w:sz="0" w:space="0" w:color="auto"/>
        <w:right w:val="none" w:sz="0" w:space="0" w:color="auto"/>
      </w:divBdr>
    </w:div>
    <w:div w:id="1133061910">
      <w:bodyDiv w:val="1"/>
      <w:marLeft w:val="0"/>
      <w:marRight w:val="0"/>
      <w:marTop w:val="0"/>
      <w:marBottom w:val="0"/>
      <w:divBdr>
        <w:top w:val="none" w:sz="0" w:space="0" w:color="auto"/>
        <w:left w:val="none" w:sz="0" w:space="0" w:color="auto"/>
        <w:bottom w:val="none" w:sz="0" w:space="0" w:color="auto"/>
        <w:right w:val="none" w:sz="0" w:space="0" w:color="auto"/>
      </w:divBdr>
    </w:div>
    <w:div w:id="1251113608">
      <w:bodyDiv w:val="1"/>
      <w:marLeft w:val="0"/>
      <w:marRight w:val="0"/>
      <w:marTop w:val="0"/>
      <w:marBottom w:val="0"/>
      <w:divBdr>
        <w:top w:val="none" w:sz="0" w:space="0" w:color="auto"/>
        <w:left w:val="none" w:sz="0" w:space="0" w:color="auto"/>
        <w:bottom w:val="none" w:sz="0" w:space="0" w:color="auto"/>
        <w:right w:val="none" w:sz="0" w:space="0" w:color="auto"/>
      </w:divBdr>
    </w:div>
    <w:div w:id="1261062826">
      <w:bodyDiv w:val="1"/>
      <w:marLeft w:val="0"/>
      <w:marRight w:val="0"/>
      <w:marTop w:val="0"/>
      <w:marBottom w:val="0"/>
      <w:divBdr>
        <w:top w:val="none" w:sz="0" w:space="0" w:color="auto"/>
        <w:left w:val="none" w:sz="0" w:space="0" w:color="auto"/>
        <w:bottom w:val="none" w:sz="0" w:space="0" w:color="auto"/>
        <w:right w:val="none" w:sz="0" w:space="0" w:color="auto"/>
      </w:divBdr>
    </w:div>
    <w:div w:id="1382905666">
      <w:bodyDiv w:val="1"/>
      <w:marLeft w:val="0"/>
      <w:marRight w:val="0"/>
      <w:marTop w:val="0"/>
      <w:marBottom w:val="0"/>
      <w:divBdr>
        <w:top w:val="none" w:sz="0" w:space="0" w:color="auto"/>
        <w:left w:val="none" w:sz="0" w:space="0" w:color="auto"/>
        <w:bottom w:val="none" w:sz="0" w:space="0" w:color="auto"/>
        <w:right w:val="none" w:sz="0" w:space="0" w:color="auto"/>
      </w:divBdr>
    </w:div>
    <w:div w:id="1385251658">
      <w:bodyDiv w:val="1"/>
      <w:marLeft w:val="0"/>
      <w:marRight w:val="0"/>
      <w:marTop w:val="0"/>
      <w:marBottom w:val="0"/>
      <w:divBdr>
        <w:top w:val="none" w:sz="0" w:space="0" w:color="auto"/>
        <w:left w:val="none" w:sz="0" w:space="0" w:color="auto"/>
        <w:bottom w:val="none" w:sz="0" w:space="0" w:color="auto"/>
        <w:right w:val="none" w:sz="0" w:space="0" w:color="auto"/>
      </w:divBdr>
    </w:div>
    <w:div w:id="1567569599">
      <w:bodyDiv w:val="1"/>
      <w:marLeft w:val="0"/>
      <w:marRight w:val="0"/>
      <w:marTop w:val="0"/>
      <w:marBottom w:val="0"/>
      <w:divBdr>
        <w:top w:val="none" w:sz="0" w:space="0" w:color="auto"/>
        <w:left w:val="none" w:sz="0" w:space="0" w:color="auto"/>
        <w:bottom w:val="none" w:sz="0" w:space="0" w:color="auto"/>
        <w:right w:val="none" w:sz="0" w:space="0" w:color="auto"/>
      </w:divBdr>
    </w:div>
    <w:div w:id="1592011944">
      <w:bodyDiv w:val="1"/>
      <w:marLeft w:val="0"/>
      <w:marRight w:val="0"/>
      <w:marTop w:val="0"/>
      <w:marBottom w:val="0"/>
      <w:divBdr>
        <w:top w:val="none" w:sz="0" w:space="0" w:color="auto"/>
        <w:left w:val="none" w:sz="0" w:space="0" w:color="auto"/>
        <w:bottom w:val="none" w:sz="0" w:space="0" w:color="auto"/>
        <w:right w:val="none" w:sz="0" w:space="0" w:color="auto"/>
      </w:divBdr>
    </w:div>
    <w:div w:id="1658878301">
      <w:bodyDiv w:val="1"/>
      <w:marLeft w:val="0"/>
      <w:marRight w:val="0"/>
      <w:marTop w:val="0"/>
      <w:marBottom w:val="0"/>
      <w:divBdr>
        <w:top w:val="none" w:sz="0" w:space="0" w:color="auto"/>
        <w:left w:val="none" w:sz="0" w:space="0" w:color="auto"/>
        <w:bottom w:val="none" w:sz="0" w:space="0" w:color="auto"/>
        <w:right w:val="none" w:sz="0" w:space="0" w:color="auto"/>
      </w:divBdr>
    </w:div>
    <w:div w:id="1705404348">
      <w:bodyDiv w:val="1"/>
      <w:marLeft w:val="0"/>
      <w:marRight w:val="0"/>
      <w:marTop w:val="0"/>
      <w:marBottom w:val="0"/>
      <w:divBdr>
        <w:top w:val="none" w:sz="0" w:space="0" w:color="auto"/>
        <w:left w:val="none" w:sz="0" w:space="0" w:color="auto"/>
        <w:bottom w:val="none" w:sz="0" w:space="0" w:color="auto"/>
        <w:right w:val="none" w:sz="0" w:space="0" w:color="auto"/>
      </w:divBdr>
      <w:divsChild>
        <w:div w:id="1898972980">
          <w:marLeft w:val="0"/>
          <w:marRight w:val="0"/>
          <w:marTop w:val="0"/>
          <w:marBottom w:val="240"/>
          <w:divBdr>
            <w:top w:val="none" w:sz="0" w:space="0" w:color="auto"/>
            <w:left w:val="none" w:sz="0" w:space="0" w:color="auto"/>
            <w:bottom w:val="none" w:sz="0" w:space="0" w:color="auto"/>
            <w:right w:val="none" w:sz="0" w:space="0" w:color="auto"/>
          </w:divBdr>
        </w:div>
      </w:divsChild>
    </w:div>
    <w:div w:id="1776365110">
      <w:bodyDiv w:val="1"/>
      <w:marLeft w:val="0"/>
      <w:marRight w:val="0"/>
      <w:marTop w:val="0"/>
      <w:marBottom w:val="0"/>
      <w:divBdr>
        <w:top w:val="none" w:sz="0" w:space="0" w:color="auto"/>
        <w:left w:val="none" w:sz="0" w:space="0" w:color="auto"/>
        <w:bottom w:val="none" w:sz="0" w:space="0" w:color="auto"/>
        <w:right w:val="none" w:sz="0" w:space="0" w:color="auto"/>
      </w:divBdr>
    </w:div>
    <w:div w:id="2076276078">
      <w:bodyDiv w:val="1"/>
      <w:marLeft w:val="0"/>
      <w:marRight w:val="0"/>
      <w:marTop w:val="0"/>
      <w:marBottom w:val="0"/>
      <w:divBdr>
        <w:top w:val="none" w:sz="0" w:space="0" w:color="auto"/>
        <w:left w:val="none" w:sz="0" w:space="0" w:color="auto"/>
        <w:bottom w:val="none" w:sz="0" w:space="0" w:color="auto"/>
        <w:right w:val="none" w:sz="0" w:space="0" w:color="auto"/>
      </w:divBdr>
    </w:div>
    <w:div w:id="2092198086">
      <w:bodyDiv w:val="1"/>
      <w:marLeft w:val="0"/>
      <w:marRight w:val="0"/>
      <w:marTop w:val="0"/>
      <w:marBottom w:val="0"/>
      <w:divBdr>
        <w:top w:val="none" w:sz="0" w:space="0" w:color="auto"/>
        <w:left w:val="none" w:sz="0" w:space="0" w:color="auto"/>
        <w:bottom w:val="none" w:sz="0" w:space="0" w:color="auto"/>
        <w:right w:val="none" w:sz="0" w:space="0" w:color="auto"/>
      </w:divBdr>
      <w:divsChild>
        <w:div w:id="14057574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thong-tu-67-2022-tt-btc-bo-tai-chinh-234460-d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tai-chinh/cong-van-3977-tct-kk-tong-cuc-thue-234311-d6.html" TargetMode="External"/><Relationship Id="rId12" Type="http://schemas.openxmlformats.org/officeDocument/2006/relationships/hyperlink" Target="https://luatvietnam.vn/tai-chinh/quyet-dinh-1361-qd-ttg-thu-tuong-chinh-phu-234586-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hue/cong-van-3946-tct-tvqt-tong-cuc-thue-234312-d6.html" TargetMode="External"/><Relationship Id="rId11" Type="http://schemas.openxmlformats.org/officeDocument/2006/relationships/hyperlink" Target="https://luatvietnam.vn/tai-chinh/cong-van-91-kbnn-ktnn-234491-d6.html" TargetMode="External"/><Relationship Id="rId5" Type="http://schemas.openxmlformats.org/officeDocument/2006/relationships/endnotes" Target="endnotes.xml"/><Relationship Id="rId10" Type="http://schemas.openxmlformats.org/officeDocument/2006/relationships/hyperlink" Target="https://luatvietnam.vn/tai-chinh/thong-bao-5543-tb-kbnn-234486-d6.html" TargetMode="External"/><Relationship Id="rId4" Type="http://schemas.openxmlformats.org/officeDocument/2006/relationships/footnotes" Target="footnotes.xml"/><Relationship Id="rId9" Type="http://schemas.openxmlformats.org/officeDocument/2006/relationships/hyperlink" Target="https://luatvietnam.vn/ke-toan/cong-van-3981-tct-dnncn-234310-d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2022-11-14T03:13:00Z</dcterms:created>
  <dcterms:modified xsi:type="dcterms:W3CDTF">2022-11-14T10:04:00Z</dcterms:modified>
</cp:coreProperties>
</file>