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53" w:rsidRPr="00BD2553" w:rsidRDefault="00BD2553" w:rsidP="00BD2553">
      <w:pPr>
        <w:shd w:val="clear" w:color="auto" w:fill="FFFFFF"/>
        <w:spacing w:after="0" w:line="234" w:lineRule="atLeast"/>
        <w:jc w:val="center"/>
        <w:rPr>
          <w:rFonts w:ascii="Times New Roman" w:eastAsia="Times New Roman" w:hAnsi="Times New Roman"/>
          <w:sz w:val="26"/>
          <w:szCs w:val="26"/>
        </w:rPr>
      </w:pPr>
      <w:bookmarkStart w:id="0" w:name="_GoBack"/>
      <w:bookmarkEnd w:id="0"/>
      <w:r w:rsidRPr="00BD2553">
        <w:rPr>
          <w:rFonts w:ascii="Times New Roman" w:eastAsia="Times New Roman" w:hAnsi="Times New Roman"/>
          <w:b/>
          <w:bCs/>
          <w:sz w:val="26"/>
          <w:szCs w:val="26"/>
          <w:lang w:val="en"/>
        </w:rPr>
        <w:t>PHỤ LỤC VI</w:t>
      </w:r>
    </w:p>
    <w:p w:rsidR="00BD2553" w:rsidRPr="00BD2553" w:rsidRDefault="00BD2553" w:rsidP="00BD2553">
      <w:pPr>
        <w:shd w:val="clear" w:color="auto" w:fill="FFFFFF"/>
        <w:spacing w:after="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N</w:t>
      </w:r>
      <w:r w:rsidRPr="00BD2553">
        <w:rPr>
          <w:rFonts w:ascii="Times New Roman" w:eastAsia="Times New Roman" w:hAnsi="Times New Roman"/>
          <w:sz w:val="26"/>
          <w:szCs w:val="26"/>
        </w:rPr>
        <w:t>ỘI DUNG BÁO CÁO ĐÁNH GIÁ NGUY CƠ RỦI RO VỀ AN TOÀN</w:t>
      </w:r>
      <w:r w:rsidRPr="00BD2553">
        <w:rPr>
          <w:rFonts w:ascii="Times New Roman" w:eastAsia="Times New Roman" w:hAnsi="Times New Roman"/>
          <w:sz w:val="26"/>
          <w:szCs w:val="26"/>
        </w:rPr>
        <w:br/>
      </w:r>
      <w:r w:rsidRPr="00BD2553">
        <w:rPr>
          <w:rFonts w:ascii="Times New Roman" w:eastAsia="Times New Roman" w:hAnsi="Times New Roman"/>
          <w:i/>
          <w:iCs/>
          <w:sz w:val="26"/>
          <w:szCs w:val="26"/>
          <w:lang w:val="en"/>
        </w:rPr>
        <w:t>(kèm theo Thông tư s</w:t>
      </w:r>
      <w:r w:rsidRPr="00BD2553">
        <w:rPr>
          <w:rFonts w:ascii="Times New Roman" w:eastAsia="Times New Roman" w:hAnsi="Times New Roman"/>
          <w:i/>
          <w:iCs/>
          <w:sz w:val="26"/>
          <w:szCs w:val="26"/>
        </w:rPr>
        <w:t>ố 23/2024/TT-BCT ngày 07 tháng 11 năm 2024 </w:t>
      </w:r>
      <w:r w:rsidRPr="00BD2553">
        <w:rPr>
          <w:rFonts w:ascii="Times New Roman" w:eastAsia="Times New Roman" w:hAnsi="Times New Roman"/>
          <w:i/>
          <w:iCs/>
          <w:sz w:val="26"/>
          <w:szCs w:val="26"/>
          <w:lang w:val="en"/>
        </w:rPr>
        <w:t>c</w:t>
      </w:r>
      <w:r w:rsidRPr="00BD2553">
        <w:rPr>
          <w:rFonts w:ascii="Times New Roman" w:eastAsia="Times New Roman" w:hAnsi="Times New Roman"/>
          <w:i/>
          <w:iCs/>
          <w:sz w:val="26"/>
          <w:szCs w:val="26"/>
        </w:rPr>
        <w:t>ủa Bộ trưởng Bộ Công Thương)</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1. M</w:t>
      </w:r>
      <w:r w:rsidRPr="00BD2553">
        <w:rPr>
          <w:rFonts w:ascii="Times New Roman" w:eastAsia="Times New Roman" w:hAnsi="Times New Roman"/>
          <w:b/>
          <w:bCs/>
          <w:sz w:val="26"/>
          <w:szCs w:val="26"/>
        </w:rPr>
        <w:t>ục đích</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a) Nh</w:t>
      </w:r>
      <w:r w:rsidRPr="00BD2553">
        <w:rPr>
          <w:rFonts w:ascii="Times New Roman" w:eastAsia="Times New Roman" w:hAnsi="Times New Roman"/>
          <w:sz w:val="26"/>
          <w:szCs w:val="26"/>
        </w:rPr>
        <w:t>ận diện các mối nguy hiểm;</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b) Đánh giá r</w:t>
      </w:r>
      <w:r w:rsidRPr="00BD2553">
        <w:rPr>
          <w:rFonts w:ascii="Times New Roman" w:eastAsia="Times New Roman" w:hAnsi="Times New Roman"/>
          <w:sz w:val="26"/>
          <w:szCs w:val="26"/>
        </w:rPr>
        <w:t>ủi ro trong hoạt động vật liệu nổ công nghiệp;</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c) Đ</w:t>
      </w:r>
      <w:r w:rsidRPr="00BD2553">
        <w:rPr>
          <w:rFonts w:ascii="Times New Roman" w:eastAsia="Times New Roman" w:hAnsi="Times New Roman"/>
          <w:sz w:val="26"/>
          <w:szCs w:val="26"/>
        </w:rPr>
        <w:t>ề xuất các biện pháp giảm thiểu rủi ro.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2. Ph</w:t>
      </w:r>
      <w:r w:rsidRPr="00BD2553">
        <w:rPr>
          <w:rFonts w:ascii="Times New Roman" w:eastAsia="Times New Roman" w:hAnsi="Times New Roman"/>
          <w:b/>
          <w:bCs/>
          <w:sz w:val="26"/>
          <w:szCs w:val="26"/>
        </w:rPr>
        <w:t>ạm vi công việc:</w:t>
      </w:r>
      <w:r w:rsidRPr="00BD2553">
        <w:rPr>
          <w:rFonts w:ascii="Times New Roman" w:eastAsia="Times New Roman" w:hAnsi="Times New Roman"/>
          <w:sz w:val="26"/>
          <w:szCs w:val="26"/>
        </w:rPr>
        <w:t> Đánh giá rủi ro và đề xuất các biện pháp để loại trừ, giảm thiểu rủi ro.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3. Tài li</w:t>
      </w:r>
      <w:r w:rsidRPr="00BD2553">
        <w:rPr>
          <w:rFonts w:ascii="Times New Roman" w:eastAsia="Times New Roman" w:hAnsi="Times New Roman"/>
          <w:b/>
          <w:bCs/>
          <w:sz w:val="26"/>
          <w:szCs w:val="26"/>
        </w:rPr>
        <w:t>ệu liên quan</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4. T</w:t>
      </w:r>
      <w:r w:rsidRPr="00BD2553">
        <w:rPr>
          <w:rFonts w:ascii="Times New Roman" w:eastAsia="Times New Roman" w:hAnsi="Times New Roman"/>
          <w:b/>
          <w:bCs/>
          <w:sz w:val="26"/>
          <w:szCs w:val="26"/>
        </w:rPr>
        <w:t>ừ viết tắt thông dụng, các thuật ngữ</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5. Xác đ</w:t>
      </w:r>
      <w:r w:rsidRPr="00BD2553">
        <w:rPr>
          <w:rFonts w:ascii="Times New Roman" w:eastAsia="Times New Roman" w:hAnsi="Times New Roman"/>
          <w:b/>
          <w:bCs/>
          <w:sz w:val="26"/>
          <w:szCs w:val="26"/>
        </w:rPr>
        <w:t>ịnh mối nguy</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Xác đ</w:t>
      </w:r>
      <w:r w:rsidRPr="00BD2553">
        <w:rPr>
          <w:rFonts w:ascii="Times New Roman" w:eastAsia="Times New Roman" w:hAnsi="Times New Roman"/>
          <w:sz w:val="26"/>
          <w:szCs w:val="26"/>
        </w:rPr>
        <w:t>ịnh tất cả các loại nguy hiểm (yếu tố nguy hiểm, yếu tố có hại), nguồn gốc và nguyên nhân gây ra các nguy hiểm đó cũng như hậu quả có thể xảy ra của nó đối với con người tại tổ chức, doanh nghiệp quản lý, sử dụng vật liệu nổ công nghiệp cũng như những người không thuộc tổ chức nhưng hiện diện trong khu vực nghiên cứu, sản xuất, bảo quản, sử dụng, tiêu hủy.</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Các n</w:t>
      </w:r>
      <w:r w:rsidRPr="00BD2553">
        <w:rPr>
          <w:rFonts w:ascii="Times New Roman" w:eastAsia="Times New Roman" w:hAnsi="Times New Roman"/>
          <w:sz w:val="26"/>
          <w:szCs w:val="26"/>
        </w:rPr>
        <w:t>ội dung cần phải xem xét đến khi xác định mối nguy gồm:</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a) Các ho</w:t>
      </w:r>
      <w:r w:rsidRPr="00BD2553">
        <w:rPr>
          <w:rFonts w:ascii="Times New Roman" w:eastAsia="Times New Roman" w:hAnsi="Times New Roman"/>
          <w:sz w:val="26"/>
          <w:szCs w:val="26"/>
        </w:rPr>
        <w:t>ạt động thường xuyên và không thường xuyên;</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b) Các ho</w:t>
      </w:r>
      <w:r w:rsidRPr="00BD2553">
        <w:rPr>
          <w:rFonts w:ascii="Times New Roman" w:eastAsia="Times New Roman" w:hAnsi="Times New Roman"/>
          <w:sz w:val="26"/>
          <w:szCs w:val="26"/>
        </w:rPr>
        <w:t>ạt động của những người có khả năng tiếp cận đến khu vực nghiên cứu, sản xuất, bảo quản, sử dụng, tiêu hủy;</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c) Các hành vi, kh</w:t>
      </w:r>
      <w:r w:rsidRPr="00BD2553">
        <w:rPr>
          <w:rFonts w:ascii="Times New Roman" w:eastAsia="Times New Roman" w:hAnsi="Times New Roman"/>
          <w:sz w:val="26"/>
          <w:szCs w:val="26"/>
        </w:rPr>
        <w:t>ả năng và các nhân tố liên quan đến con người khác;</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d) Xác đ</w:t>
      </w:r>
      <w:r w:rsidRPr="00BD2553">
        <w:rPr>
          <w:rFonts w:ascii="Times New Roman" w:eastAsia="Times New Roman" w:hAnsi="Times New Roman"/>
          <w:sz w:val="26"/>
          <w:szCs w:val="26"/>
        </w:rPr>
        <w:t>ịnh các mối nguy bắt nguồn từ bên ngoài nơi làm việc mà có ảnh hưởng xấu đến sức khỏe, an toàn của những người chịu ảnh hưởng kiểm soát của tổ chức trong phạm vi nơi làm việc;</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đ) Các m</w:t>
      </w:r>
      <w:r w:rsidRPr="00BD2553">
        <w:rPr>
          <w:rFonts w:ascii="Times New Roman" w:eastAsia="Times New Roman" w:hAnsi="Times New Roman"/>
          <w:sz w:val="26"/>
          <w:szCs w:val="26"/>
        </w:rPr>
        <w:t>ối nguy do hoạt động dưới sự kiểm soát của tổ chức, doanh nghiệp tạo ra trong vùng lân cận của nơi làm việc;</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e) Cơ s</w:t>
      </w:r>
      <w:r w:rsidRPr="00BD2553">
        <w:rPr>
          <w:rFonts w:ascii="Times New Roman" w:eastAsia="Times New Roman" w:hAnsi="Times New Roman"/>
          <w:sz w:val="26"/>
          <w:szCs w:val="26"/>
        </w:rPr>
        <w:t>ở hạ tầng, trang thiết bị và vật liệu tại nơi làm việc do tổ chức hay người khác cung cấp;</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g) Các thay đ</w:t>
      </w:r>
      <w:r w:rsidRPr="00BD2553">
        <w:rPr>
          <w:rFonts w:ascii="Times New Roman" w:eastAsia="Times New Roman" w:hAnsi="Times New Roman"/>
          <w:sz w:val="26"/>
          <w:szCs w:val="26"/>
        </w:rPr>
        <w:t>ổi hay đề xuất thay đổi trong tổ chức, đối với các hoạt động, hay vật tư;</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 Các điều</w:t>
      </w:r>
      <w:r w:rsidRPr="00BD2553">
        <w:rPr>
          <w:rFonts w:ascii="Times New Roman" w:eastAsia="Times New Roman" w:hAnsi="Times New Roman"/>
          <w:sz w:val="26"/>
          <w:szCs w:val="26"/>
        </w:rPr>
        <w:t> chỉnh đối với hệ thống quản lý an toàn, sức khỏe và môi trường bao gồm các thay đổi mang tính tạm thời và ảnh hưởng của chúng đối với việc điều hành, các quá trình và các hoạt động;</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lastRenderedPageBreak/>
        <w:t>k) Vi</w:t>
      </w:r>
      <w:r w:rsidRPr="00BD2553">
        <w:rPr>
          <w:rFonts w:ascii="Times New Roman" w:eastAsia="Times New Roman" w:hAnsi="Times New Roman"/>
          <w:sz w:val="26"/>
          <w:szCs w:val="26"/>
        </w:rPr>
        <w:t>ệc thiết kế khu vực làm việc, các quá trình, việc lắp đặt, máy, thiết bị, các thủ tục điều hành và tổ chức công việc, bao gồm việc thích ứng với khả năng của con người.</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6. Đánh giá r</w:t>
      </w:r>
      <w:r w:rsidRPr="00BD2553">
        <w:rPr>
          <w:rFonts w:ascii="Times New Roman" w:eastAsia="Times New Roman" w:hAnsi="Times New Roman"/>
          <w:b/>
          <w:bCs/>
          <w:sz w:val="26"/>
          <w:szCs w:val="26"/>
        </w:rPr>
        <w:t>ủi ro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a) Xác đ</w:t>
      </w:r>
      <w:r w:rsidRPr="00BD2553">
        <w:rPr>
          <w:rFonts w:ascii="Times New Roman" w:eastAsia="Times New Roman" w:hAnsi="Times New Roman"/>
          <w:sz w:val="26"/>
          <w:szCs w:val="26"/>
        </w:rPr>
        <w:t>ịnh các giải pháp kiểm soát các mối nguy hiểm có sẵn</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 Các gi</w:t>
      </w:r>
      <w:r w:rsidRPr="00BD2553">
        <w:rPr>
          <w:rFonts w:ascii="Times New Roman" w:eastAsia="Times New Roman" w:hAnsi="Times New Roman"/>
          <w:sz w:val="26"/>
          <w:szCs w:val="26"/>
        </w:rPr>
        <w:t>ải pháp phải là giải pháp đã được thực hiện trong thực tế, đã được ban hành trong nội quy, quy trình, quy định về an toàn, phiếu công tác…, không phải là giải pháp mà người đánh giá đặt ra trong quá trình đánh giá;</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 Yêu c</w:t>
      </w:r>
      <w:r w:rsidRPr="00BD2553">
        <w:rPr>
          <w:rFonts w:ascii="Times New Roman" w:eastAsia="Times New Roman" w:hAnsi="Times New Roman"/>
          <w:sz w:val="26"/>
          <w:szCs w:val="26"/>
        </w:rPr>
        <w:t>ầu các giải pháp kiểm soát mối nguy hiểm có sẵn phải được liệt kê: Ngắn gọn, chính xác, đầy đủ và càng cụ thể càng tốt. Cũng cần xem xét hiệu quả của các giải pháp có sẵn trong thực tế.</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b) Đánh giá h</w:t>
      </w:r>
      <w:r w:rsidRPr="00BD2553">
        <w:rPr>
          <w:rFonts w:ascii="Times New Roman" w:eastAsia="Times New Roman" w:hAnsi="Times New Roman"/>
          <w:sz w:val="26"/>
          <w:szCs w:val="26"/>
        </w:rPr>
        <w:t>ậu quả của các mối nguy hiểm đã được xác định</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w:t>
      </w:r>
      <w:r w:rsidRPr="00BD2553">
        <w:rPr>
          <w:rFonts w:ascii="Times New Roman" w:eastAsia="Times New Roman" w:hAnsi="Times New Roman"/>
          <w:sz w:val="26"/>
          <w:szCs w:val="26"/>
        </w:rPr>
        <w:t>ậu quả là mức độ của chấn thương hoặc thiệt hại gây ra bởi tai nạn/sự cố, ốm đau từ mối nguy hiểm tại nơi làm việc. Hậu quả có thể được chia làm nhiều loại khác nhau dựa trên mức độ sự cố, thương tật. Ví dụ: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7169"/>
      </w:tblGrid>
      <w:tr w:rsidR="00BD2553" w:rsidRPr="00BD2553" w:rsidTr="00BD2553">
        <w:trPr>
          <w:tblCellSpacing w:w="0" w:type="dxa"/>
        </w:trPr>
        <w:tc>
          <w:tcPr>
            <w:tcW w:w="1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H</w:t>
            </w:r>
            <w:r w:rsidRPr="00BD2553">
              <w:rPr>
                <w:rFonts w:ascii="Times New Roman" w:eastAsia="Times New Roman" w:hAnsi="Times New Roman"/>
                <w:b/>
                <w:bCs/>
                <w:sz w:val="26"/>
                <w:szCs w:val="26"/>
              </w:rPr>
              <w:t>ậu quả</w:t>
            </w:r>
          </w:p>
        </w:tc>
        <w:tc>
          <w:tcPr>
            <w:tcW w:w="3800" w:type="pct"/>
            <w:tcBorders>
              <w:top w:val="single" w:sz="8" w:space="0" w:color="000000"/>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Mô t</w:t>
            </w:r>
            <w:r w:rsidRPr="00BD2553">
              <w:rPr>
                <w:rFonts w:ascii="Times New Roman" w:eastAsia="Times New Roman" w:hAnsi="Times New Roman"/>
                <w:b/>
                <w:bCs/>
                <w:sz w:val="26"/>
                <w:szCs w:val="26"/>
              </w:rPr>
              <w:t>ả</w:t>
            </w:r>
          </w:p>
        </w:tc>
      </w:tr>
      <w:tr w:rsidR="00BD2553" w:rsidRPr="00BD2553" w:rsidTr="00BD2553">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Nh</w:t>
            </w:r>
            <w:r w:rsidRPr="00BD2553">
              <w:rPr>
                <w:rFonts w:ascii="Times New Roman" w:eastAsia="Times New Roman" w:hAnsi="Times New Roman"/>
                <w:sz w:val="26"/>
                <w:szCs w:val="26"/>
              </w:rPr>
              <w:t>ẹ</w:t>
            </w:r>
          </w:p>
        </w:tc>
        <w:tc>
          <w:tcPr>
            <w:tcW w:w="3800" w:type="pct"/>
            <w:tcBorders>
              <w:top w:val="nil"/>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i/>
                <w:iCs/>
                <w:sz w:val="26"/>
                <w:szCs w:val="26"/>
                <w:lang w:val="en"/>
              </w:rPr>
              <w:t>Không ch</w:t>
            </w:r>
            <w:r w:rsidRPr="00BD2553">
              <w:rPr>
                <w:rFonts w:ascii="Times New Roman" w:eastAsia="Times New Roman" w:hAnsi="Times New Roman"/>
                <w:i/>
                <w:iCs/>
                <w:sz w:val="26"/>
                <w:szCs w:val="26"/>
              </w:rPr>
              <w:t>ấn thương, chấn thương hoặc ốm đau chỉ yêu cầu sơ cứu (bao gồm các vết đứt và trầy xước nhỏ, sưng tấy, ốm đau với lo lắng tạm thời)</w:t>
            </w:r>
          </w:p>
        </w:tc>
      </w:tr>
      <w:tr w:rsidR="00BD2553" w:rsidRPr="00BD2553" w:rsidTr="00BD2553">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Trung bình</w:t>
            </w:r>
          </w:p>
        </w:tc>
        <w:tc>
          <w:tcPr>
            <w:tcW w:w="3800" w:type="pct"/>
            <w:tcBorders>
              <w:top w:val="nil"/>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i/>
                <w:iCs/>
                <w:sz w:val="26"/>
                <w:szCs w:val="26"/>
                <w:lang w:val="en"/>
              </w:rPr>
              <w:t>Ch</w:t>
            </w:r>
            <w:r w:rsidRPr="00BD2553">
              <w:rPr>
                <w:rFonts w:ascii="Times New Roman" w:eastAsia="Times New Roman" w:hAnsi="Times New Roman"/>
                <w:i/>
                <w:iCs/>
                <w:sz w:val="26"/>
                <w:szCs w:val="26"/>
              </w:rPr>
              <w:t>ấn thương yêu cầu điều trị y tế hoặc ốm đau dẫn đến ốm yếu tàn tật (bao gồm vết rách, bỏng, bong gân, gãy nhỏ, viêm da, điếc, …)</w:t>
            </w:r>
          </w:p>
        </w:tc>
      </w:tr>
      <w:tr w:rsidR="00BD2553" w:rsidRPr="00BD2553" w:rsidTr="00BD2553">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N</w:t>
            </w:r>
            <w:r w:rsidRPr="00BD2553">
              <w:rPr>
                <w:rFonts w:ascii="Times New Roman" w:eastAsia="Times New Roman" w:hAnsi="Times New Roman"/>
                <w:sz w:val="26"/>
                <w:szCs w:val="26"/>
              </w:rPr>
              <w:t>ặng</w:t>
            </w:r>
          </w:p>
        </w:tc>
        <w:tc>
          <w:tcPr>
            <w:tcW w:w="3800" w:type="pct"/>
            <w:tcBorders>
              <w:top w:val="nil"/>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i/>
                <w:iCs/>
                <w:sz w:val="26"/>
                <w:szCs w:val="26"/>
                <w:lang w:val="en"/>
              </w:rPr>
              <w:t>Ch</w:t>
            </w:r>
            <w:r w:rsidRPr="00BD2553">
              <w:rPr>
                <w:rFonts w:ascii="Times New Roman" w:eastAsia="Times New Roman" w:hAnsi="Times New Roman"/>
                <w:i/>
                <w:iCs/>
                <w:sz w:val="26"/>
                <w:szCs w:val="26"/>
              </w:rPr>
              <w:t>ết người, chấn thương trầm trọng hoặc bệnh nghề nghiệp có thể làm chết người (bao gồm cụt chân tay, gãy xương lớn, đa chấn thương, ung thư nghề nghiệp, nhiễm độc cấp tính và chết người)</w:t>
            </w:r>
          </w:p>
        </w:tc>
      </w:tr>
    </w:tbl>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Ho</w:t>
      </w:r>
      <w:r w:rsidRPr="00BD2553">
        <w:rPr>
          <w:rFonts w:ascii="Times New Roman" w:eastAsia="Times New Roman" w:hAnsi="Times New Roman"/>
          <w:sz w:val="26"/>
          <w:szCs w:val="26"/>
        </w:rPr>
        <w:t>ặc chia thành 5 cấp độ như bảng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0"/>
        <w:gridCol w:w="2641"/>
        <w:gridCol w:w="5189"/>
      </w:tblGrid>
      <w:tr w:rsidR="00BD2553" w:rsidRPr="00BD2553" w:rsidTr="00BD2553">
        <w:trPr>
          <w:tblCellSpacing w:w="0" w:type="dxa"/>
        </w:trPr>
        <w:tc>
          <w:tcPr>
            <w:tcW w:w="8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C</w:t>
            </w:r>
            <w:r w:rsidRPr="00BD2553">
              <w:rPr>
                <w:rFonts w:ascii="Times New Roman" w:eastAsia="Times New Roman" w:hAnsi="Times New Roman"/>
                <w:b/>
                <w:bCs/>
                <w:sz w:val="26"/>
                <w:szCs w:val="26"/>
              </w:rPr>
              <w:t>ấp độ</w:t>
            </w:r>
          </w:p>
        </w:tc>
        <w:tc>
          <w:tcPr>
            <w:tcW w:w="1400" w:type="pct"/>
            <w:tcBorders>
              <w:top w:val="single" w:sz="8" w:space="0" w:color="000000"/>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Mô t</w:t>
            </w:r>
            <w:r w:rsidRPr="00BD2553">
              <w:rPr>
                <w:rFonts w:ascii="Times New Roman" w:eastAsia="Times New Roman" w:hAnsi="Times New Roman"/>
                <w:b/>
                <w:bCs/>
                <w:sz w:val="26"/>
                <w:szCs w:val="26"/>
              </w:rPr>
              <w:t>ả</w:t>
            </w:r>
          </w:p>
        </w:tc>
        <w:tc>
          <w:tcPr>
            <w:tcW w:w="2750" w:type="pct"/>
            <w:tcBorders>
              <w:top w:val="single" w:sz="8" w:space="0" w:color="000000"/>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Di</w:t>
            </w:r>
            <w:r w:rsidRPr="00BD2553">
              <w:rPr>
                <w:rFonts w:ascii="Times New Roman" w:eastAsia="Times New Roman" w:hAnsi="Times New Roman"/>
                <w:b/>
                <w:bCs/>
                <w:sz w:val="26"/>
                <w:szCs w:val="26"/>
              </w:rPr>
              <w:t>ễn giải</w:t>
            </w:r>
          </w:p>
        </w:tc>
      </w:tr>
      <w:tr w:rsidR="00BD2553" w:rsidRPr="00BD2553" w:rsidTr="00BD2553">
        <w:trPr>
          <w:tblCellSpacing w:w="0" w:type="dxa"/>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A</w:t>
            </w:r>
          </w:p>
        </w:tc>
        <w:tc>
          <w:tcPr>
            <w:tcW w:w="14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Th</w:t>
            </w:r>
            <w:r w:rsidRPr="00BD2553">
              <w:rPr>
                <w:rFonts w:ascii="Times New Roman" w:eastAsia="Times New Roman" w:hAnsi="Times New Roman"/>
                <w:sz w:val="26"/>
                <w:szCs w:val="26"/>
              </w:rPr>
              <w:t>ảm khốc</w:t>
            </w:r>
          </w:p>
        </w:tc>
        <w:tc>
          <w:tcPr>
            <w:tcW w:w="27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T</w:t>
            </w:r>
            <w:r w:rsidRPr="00BD2553">
              <w:rPr>
                <w:rFonts w:ascii="Times New Roman" w:eastAsia="Times New Roman" w:hAnsi="Times New Roman"/>
                <w:sz w:val="26"/>
                <w:szCs w:val="26"/>
              </w:rPr>
              <w:t>ử vong</w:t>
            </w:r>
          </w:p>
        </w:tc>
      </w:tr>
      <w:tr w:rsidR="00BD2553" w:rsidRPr="00BD2553" w:rsidTr="00BD2553">
        <w:trPr>
          <w:tblCellSpacing w:w="0" w:type="dxa"/>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B</w:t>
            </w:r>
          </w:p>
        </w:tc>
        <w:tc>
          <w:tcPr>
            <w:tcW w:w="14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Cao</w:t>
            </w:r>
          </w:p>
        </w:tc>
        <w:tc>
          <w:tcPr>
            <w:tcW w:w="27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Thương t</w:t>
            </w:r>
            <w:r w:rsidRPr="00BD2553">
              <w:rPr>
                <w:rFonts w:ascii="Times New Roman" w:eastAsia="Times New Roman" w:hAnsi="Times New Roman"/>
                <w:sz w:val="26"/>
                <w:szCs w:val="26"/>
              </w:rPr>
              <w:t>ật nghiêm trọng vĩnh viễn</w:t>
            </w:r>
          </w:p>
        </w:tc>
      </w:tr>
      <w:tr w:rsidR="00BD2553" w:rsidRPr="00BD2553" w:rsidTr="00BD2553">
        <w:trPr>
          <w:tblCellSpacing w:w="0" w:type="dxa"/>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C</w:t>
            </w:r>
          </w:p>
        </w:tc>
        <w:tc>
          <w:tcPr>
            <w:tcW w:w="14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Trung bình</w:t>
            </w:r>
          </w:p>
        </w:tc>
        <w:tc>
          <w:tcPr>
            <w:tcW w:w="27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C</w:t>
            </w:r>
            <w:r w:rsidRPr="00BD2553">
              <w:rPr>
                <w:rFonts w:ascii="Times New Roman" w:eastAsia="Times New Roman" w:hAnsi="Times New Roman"/>
                <w:sz w:val="26"/>
                <w:szCs w:val="26"/>
              </w:rPr>
              <w:t>ần điều trị y tế, mất ngày công</w:t>
            </w:r>
          </w:p>
        </w:tc>
      </w:tr>
      <w:tr w:rsidR="00BD2553" w:rsidRPr="00BD2553" w:rsidTr="00BD2553">
        <w:trPr>
          <w:tblCellSpacing w:w="0" w:type="dxa"/>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D</w:t>
            </w:r>
          </w:p>
        </w:tc>
        <w:tc>
          <w:tcPr>
            <w:tcW w:w="14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Nh</w:t>
            </w:r>
            <w:r w:rsidRPr="00BD2553">
              <w:rPr>
                <w:rFonts w:ascii="Times New Roman" w:eastAsia="Times New Roman" w:hAnsi="Times New Roman"/>
                <w:sz w:val="26"/>
                <w:szCs w:val="26"/>
              </w:rPr>
              <w:t>ẹ</w:t>
            </w:r>
          </w:p>
        </w:tc>
        <w:tc>
          <w:tcPr>
            <w:tcW w:w="27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Điều</w:t>
            </w:r>
            <w:r w:rsidRPr="00BD2553">
              <w:rPr>
                <w:rFonts w:ascii="Times New Roman" w:eastAsia="Times New Roman" w:hAnsi="Times New Roman"/>
                <w:sz w:val="26"/>
                <w:szCs w:val="26"/>
              </w:rPr>
              <w:t> trị y tế (có thể quay lại làm việc)</w:t>
            </w:r>
          </w:p>
        </w:tc>
      </w:tr>
      <w:tr w:rsidR="00BD2553" w:rsidRPr="00BD2553" w:rsidTr="00BD2553">
        <w:trPr>
          <w:tblCellSpacing w:w="0" w:type="dxa"/>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E</w:t>
            </w:r>
          </w:p>
        </w:tc>
        <w:tc>
          <w:tcPr>
            <w:tcW w:w="14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Không đáng k</w:t>
            </w:r>
            <w:r w:rsidRPr="00BD2553">
              <w:rPr>
                <w:rFonts w:ascii="Times New Roman" w:eastAsia="Times New Roman" w:hAnsi="Times New Roman"/>
                <w:sz w:val="26"/>
                <w:szCs w:val="26"/>
              </w:rPr>
              <w:t>ể</w:t>
            </w:r>
          </w:p>
        </w:tc>
        <w:tc>
          <w:tcPr>
            <w:tcW w:w="27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Điều </w:t>
            </w:r>
            <w:r w:rsidRPr="00BD2553">
              <w:rPr>
                <w:rFonts w:ascii="Times New Roman" w:eastAsia="Times New Roman" w:hAnsi="Times New Roman"/>
                <w:sz w:val="26"/>
                <w:szCs w:val="26"/>
              </w:rPr>
              <w:t>trị sơ cứu (có thể quay lại làm việc)</w:t>
            </w:r>
          </w:p>
        </w:tc>
      </w:tr>
    </w:tbl>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lastRenderedPageBreak/>
        <w:t>c) Xác đ</w:t>
      </w:r>
      <w:r w:rsidRPr="00BD2553">
        <w:rPr>
          <w:rFonts w:ascii="Times New Roman" w:eastAsia="Times New Roman" w:hAnsi="Times New Roman"/>
          <w:sz w:val="26"/>
          <w:szCs w:val="26"/>
        </w:rPr>
        <w:t>ịnh khả năng xuất hiện của tai nạn, sự cố hoặc ốm đau phát sinh từ mối nguy hiểm</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Bên c</w:t>
      </w:r>
      <w:r w:rsidRPr="00BD2553">
        <w:rPr>
          <w:rFonts w:ascii="Times New Roman" w:eastAsia="Times New Roman" w:hAnsi="Times New Roman"/>
          <w:sz w:val="26"/>
          <w:szCs w:val="26"/>
        </w:rPr>
        <w:t>ạnh việc xác định hậu quả có thể xảy ra đối với mỗi mối nguy hiểm, cần thiết phải xác định khả năng xuất hiện (hay tần suất) của tai nạn, sự cố hoặc ốm đau phát sinh từ mối nguy hiểm.</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Ví d</w:t>
      </w:r>
      <w:r w:rsidRPr="00BD2553">
        <w:rPr>
          <w:rFonts w:ascii="Times New Roman" w:eastAsia="Times New Roman" w:hAnsi="Times New Roman"/>
          <w:sz w:val="26"/>
          <w:szCs w:val="26"/>
        </w:rPr>
        <w:t>ụ tại bảng sau, việc xác định khả năng xảy ra được chia làm 3 mức: ít, thỉnh thoảng, hay xảy 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5"/>
        <w:gridCol w:w="5755"/>
      </w:tblGrid>
      <w:tr w:rsidR="00BD2553" w:rsidRPr="00BD2553" w:rsidTr="00BD2553">
        <w:trPr>
          <w:tblCellSpacing w:w="0" w:type="dxa"/>
        </w:trPr>
        <w:tc>
          <w:tcPr>
            <w:tcW w:w="1900" w:type="pct"/>
            <w:tcBorders>
              <w:top w:val="single" w:sz="8" w:space="0" w:color="000000"/>
              <w:left w:val="single" w:sz="8" w:space="0" w:color="000000"/>
              <w:bottom w:val="single" w:sz="8" w:space="0" w:color="000000"/>
              <w:right w:val="single" w:sz="8" w:space="0" w:color="000000"/>
            </w:tcBorders>
            <w:shd w:val="clear" w:color="auto" w:fill="auto"/>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Kh</w:t>
            </w:r>
            <w:r w:rsidRPr="00BD2553">
              <w:rPr>
                <w:rFonts w:ascii="Times New Roman" w:eastAsia="Times New Roman" w:hAnsi="Times New Roman"/>
                <w:b/>
                <w:bCs/>
                <w:sz w:val="26"/>
                <w:szCs w:val="26"/>
              </w:rPr>
              <w:t>ả năng xảy ra</w:t>
            </w:r>
          </w:p>
        </w:tc>
        <w:tc>
          <w:tcPr>
            <w:tcW w:w="3050" w:type="pct"/>
            <w:tcBorders>
              <w:top w:val="single" w:sz="8" w:space="0" w:color="000000"/>
              <w:left w:val="nil"/>
              <w:bottom w:val="single" w:sz="8" w:space="0" w:color="000000"/>
              <w:right w:val="single" w:sz="8" w:space="0" w:color="000000"/>
            </w:tcBorders>
            <w:shd w:val="clear" w:color="auto" w:fill="auto"/>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Mô t</w:t>
            </w:r>
            <w:r w:rsidRPr="00BD2553">
              <w:rPr>
                <w:rFonts w:ascii="Times New Roman" w:eastAsia="Times New Roman" w:hAnsi="Times New Roman"/>
                <w:b/>
                <w:bCs/>
                <w:sz w:val="26"/>
                <w:szCs w:val="26"/>
              </w:rPr>
              <w:t>ả</w:t>
            </w:r>
          </w:p>
        </w:tc>
      </w:tr>
      <w:tr w:rsidR="00BD2553" w:rsidRPr="00BD2553" w:rsidTr="00BD2553">
        <w:trPr>
          <w:tblCellSpacing w:w="0" w:type="dxa"/>
        </w:trPr>
        <w:tc>
          <w:tcPr>
            <w:tcW w:w="1900" w:type="pct"/>
            <w:tcBorders>
              <w:top w:val="nil"/>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Hi</w:t>
            </w:r>
            <w:r w:rsidRPr="00BD2553">
              <w:rPr>
                <w:rFonts w:ascii="Times New Roman" w:eastAsia="Times New Roman" w:hAnsi="Times New Roman"/>
                <w:sz w:val="26"/>
                <w:szCs w:val="26"/>
              </w:rPr>
              <w:t>ếm khi</w:t>
            </w:r>
          </w:p>
        </w:tc>
        <w:tc>
          <w:tcPr>
            <w:tcW w:w="3050" w:type="pct"/>
            <w:tcBorders>
              <w:top w:val="nil"/>
              <w:left w:val="nil"/>
              <w:bottom w:val="single" w:sz="8" w:space="0" w:color="000000"/>
              <w:right w:val="single" w:sz="8" w:space="0" w:color="000000"/>
            </w:tcBorders>
            <w:shd w:val="clear" w:color="auto" w:fill="auto"/>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Ít có kh</w:t>
            </w:r>
            <w:r w:rsidRPr="00BD2553">
              <w:rPr>
                <w:rFonts w:ascii="Times New Roman" w:eastAsia="Times New Roman" w:hAnsi="Times New Roman"/>
                <w:sz w:val="26"/>
                <w:szCs w:val="26"/>
              </w:rPr>
              <w:t>ả năng xuất hiện</w:t>
            </w:r>
          </w:p>
        </w:tc>
      </w:tr>
      <w:tr w:rsidR="00BD2553" w:rsidRPr="00BD2553" w:rsidTr="00BD2553">
        <w:trPr>
          <w:tblCellSpacing w:w="0" w:type="dxa"/>
        </w:trPr>
        <w:tc>
          <w:tcPr>
            <w:tcW w:w="1900" w:type="pct"/>
            <w:tcBorders>
              <w:top w:val="nil"/>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Th</w:t>
            </w:r>
            <w:r w:rsidRPr="00BD2553">
              <w:rPr>
                <w:rFonts w:ascii="Times New Roman" w:eastAsia="Times New Roman" w:hAnsi="Times New Roman"/>
                <w:sz w:val="26"/>
                <w:szCs w:val="26"/>
              </w:rPr>
              <w:t>ỉnh thoảng</w:t>
            </w:r>
          </w:p>
        </w:tc>
        <w:tc>
          <w:tcPr>
            <w:tcW w:w="3050" w:type="pct"/>
            <w:tcBorders>
              <w:top w:val="nil"/>
              <w:left w:val="nil"/>
              <w:bottom w:val="single" w:sz="8" w:space="0" w:color="000000"/>
              <w:right w:val="single" w:sz="8" w:space="0" w:color="000000"/>
            </w:tcBorders>
            <w:shd w:val="clear" w:color="auto" w:fill="auto"/>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Có th</w:t>
            </w:r>
            <w:r w:rsidRPr="00BD2553">
              <w:rPr>
                <w:rFonts w:ascii="Times New Roman" w:eastAsia="Times New Roman" w:hAnsi="Times New Roman"/>
                <w:sz w:val="26"/>
                <w:szCs w:val="26"/>
              </w:rPr>
              <w:t>ể hoặc đã biết xuất hiện</w:t>
            </w:r>
          </w:p>
        </w:tc>
      </w:tr>
      <w:tr w:rsidR="00BD2553" w:rsidRPr="00BD2553" w:rsidTr="00BD2553">
        <w:trPr>
          <w:tblCellSpacing w:w="0" w:type="dxa"/>
        </w:trPr>
        <w:tc>
          <w:tcPr>
            <w:tcW w:w="1900" w:type="pct"/>
            <w:tcBorders>
              <w:top w:val="nil"/>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Thư</w:t>
            </w:r>
            <w:r w:rsidRPr="00BD2553">
              <w:rPr>
                <w:rFonts w:ascii="Times New Roman" w:eastAsia="Times New Roman" w:hAnsi="Times New Roman"/>
                <w:sz w:val="26"/>
                <w:szCs w:val="26"/>
              </w:rPr>
              <w:t>ờng xuyên</w:t>
            </w:r>
          </w:p>
        </w:tc>
        <w:tc>
          <w:tcPr>
            <w:tcW w:w="3050" w:type="pct"/>
            <w:tcBorders>
              <w:top w:val="nil"/>
              <w:left w:val="nil"/>
              <w:bottom w:val="single" w:sz="8" w:space="0" w:color="000000"/>
              <w:right w:val="single" w:sz="8" w:space="0" w:color="000000"/>
            </w:tcBorders>
            <w:shd w:val="clear" w:color="auto" w:fill="auto"/>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Xu</w:t>
            </w:r>
            <w:r w:rsidRPr="00BD2553">
              <w:rPr>
                <w:rFonts w:ascii="Times New Roman" w:eastAsia="Times New Roman" w:hAnsi="Times New Roman"/>
                <w:sz w:val="26"/>
                <w:szCs w:val="26"/>
              </w:rPr>
              <w:t>ất hiện thông thường hoặc lặp lại</w:t>
            </w:r>
          </w:p>
        </w:tc>
      </w:tr>
    </w:tbl>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Ho</w:t>
      </w:r>
      <w:r w:rsidRPr="00BD2553">
        <w:rPr>
          <w:rFonts w:ascii="Times New Roman" w:eastAsia="Times New Roman" w:hAnsi="Times New Roman"/>
          <w:sz w:val="26"/>
          <w:szCs w:val="26"/>
        </w:rPr>
        <w:t>ặc có thể chia làm 5 cấp độ như bảng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98"/>
        <w:gridCol w:w="2548"/>
        <w:gridCol w:w="5094"/>
      </w:tblGrid>
      <w:tr w:rsidR="00BD2553" w:rsidRPr="00BD2553" w:rsidTr="00BD2553">
        <w:trPr>
          <w:tblCellSpacing w:w="0" w:type="dxa"/>
        </w:trPr>
        <w:tc>
          <w:tcPr>
            <w:tcW w:w="9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C</w:t>
            </w:r>
            <w:r w:rsidRPr="00BD2553">
              <w:rPr>
                <w:rFonts w:ascii="Times New Roman" w:eastAsia="Times New Roman" w:hAnsi="Times New Roman"/>
                <w:b/>
                <w:bCs/>
                <w:sz w:val="26"/>
                <w:szCs w:val="26"/>
              </w:rPr>
              <w:t>ấp độ</w:t>
            </w:r>
          </w:p>
        </w:tc>
        <w:tc>
          <w:tcPr>
            <w:tcW w:w="1350" w:type="pct"/>
            <w:tcBorders>
              <w:top w:val="single" w:sz="8" w:space="0" w:color="000000"/>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Mô t</w:t>
            </w:r>
            <w:r w:rsidRPr="00BD2553">
              <w:rPr>
                <w:rFonts w:ascii="Times New Roman" w:eastAsia="Times New Roman" w:hAnsi="Times New Roman"/>
                <w:b/>
                <w:bCs/>
                <w:sz w:val="26"/>
                <w:szCs w:val="26"/>
              </w:rPr>
              <w:t>ả</w:t>
            </w:r>
          </w:p>
        </w:tc>
        <w:tc>
          <w:tcPr>
            <w:tcW w:w="2700" w:type="pct"/>
            <w:tcBorders>
              <w:top w:val="single" w:sz="8" w:space="0" w:color="000000"/>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Di</w:t>
            </w:r>
            <w:r w:rsidRPr="00BD2553">
              <w:rPr>
                <w:rFonts w:ascii="Times New Roman" w:eastAsia="Times New Roman" w:hAnsi="Times New Roman"/>
                <w:b/>
                <w:bCs/>
                <w:sz w:val="26"/>
                <w:szCs w:val="26"/>
              </w:rPr>
              <w:t>ễn giải</w:t>
            </w:r>
          </w:p>
        </w:tc>
      </w:tr>
      <w:tr w:rsidR="00BD2553" w:rsidRPr="00BD2553" w:rsidTr="00BD2553">
        <w:trPr>
          <w:tblCellSpacing w:w="0" w:type="dxa"/>
        </w:trPr>
        <w:tc>
          <w:tcPr>
            <w:tcW w:w="9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G</w:t>
            </w:r>
            <w:r w:rsidRPr="00BD2553">
              <w:rPr>
                <w:rFonts w:ascii="Times New Roman" w:eastAsia="Times New Roman" w:hAnsi="Times New Roman"/>
                <w:sz w:val="26"/>
                <w:szCs w:val="26"/>
              </w:rPr>
              <w:t>ần như chắc chắn</w:t>
            </w:r>
          </w:p>
        </w:tc>
        <w:tc>
          <w:tcPr>
            <w:tcW w:w="13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S</w:t>
            </w:r>
            <w:r w:rsidRPr="00BD2553">
              <w:rPr>
                <w:rFonts w:ascii="Times New Roman" w:eastAsia="Times New Roman" w:hAnsi="Times New Roman"/>
                <w:sz w:val="26"/>
                <w:szCs w:val="26"/>
              </w:rPr>
              <w:t>ẽ xảy ra ít nhất một lần trong năm</w:t>
            </w:r>
          </w:p>
        </w:tc>
        <w:tc>
          <w:tcPr>
            <w:tcW w:w="27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Kh</w:t>
            </w:r>
            <w:r w:rsidRPr="00BD2553">
              <w:rPr>
                <w:rFonts w:ascii="Times New Roman" w:eastAsia="Times New Roman" w:hAnsi="Times New Roman"/>
                <w:sz w:val="26"/>
                <w:szCs w:val="26"/>
              </w:rPr>
              <w:t>ả năng thường xuyên xảy ra trong vòng đời của một cá nhân hoặc hệ thống hoặc rất thường xuyên xảy ra trong hoạt động với số lượng lớn của các thành phần tương tự.</w:t>
            </w:r>
          </w:p>
        </w:tc>
      </w:tr>
      <w:tr w:rsidR="00BD2553" w:rsidRPr="00BD2553" w:rsidTr="00BD2553">
        <w:trPr>
          <w:tblCellSpacing w:w="0" w:type="dxa"/>
        </w:trPr>
        <w:tc>
          <w:tcPr>
            <w:tcW w:w="9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Có kh</w:t>
            </w:r>
            <w:r w:rsidRPr="00BD2553">
              <w:rPr>
                <w:rFonts w:ascii="Times New Roman" w:eastAsia="Times New Roman" w:hAnsi="Times New Roman"/>
                <w:sz w:val="26"/>
                <w:szCs w:val="26"/>
              </w:rPr>
              <w:t>ả năng xảy ra</w:t>
            </w:r>
          </w:p>
        </w:tc>
        <w:tc>
          <w:tcPr>
            <w:tcW w:w="13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M</w:t>
            </w:r>
            <w:r w:rsidRPr="00BD2553">
              <w:rPr>
                <w:rFonts w:ascii="Times New Roman" w:eastAsia="Times New Roman" w:hAnsi="Times New Roman"/>
                <w:sz w:val="26"/>
                <w:szCs w:val="26"/>
              </w:rPr>
              <w:t>ột lần trong 5 năm</w:t>
            </w:r>
          </w:p>
        </w:tc>
        <w:tc>
          <w:tcPr>
            <w:tcW w:w="27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Kh</w:t>
            </w:r>
            <w:r w:rsidRPr="00BD2553">
              <w:rPr>
                <w:rFonts w:ascii="Times New Roman" w:eastAsia="Times New Roman" w:hAnsi="Times New Roman"/>
                <w:sz w:val="26"/>
                <w:szCs w:val="26"/>
              </w:rPr>
              <w:t>ả năng xảy ra vài lần trong vòng đời của một cá nhân hoặc hệ thống trong hoạt động với số lớn của các thành phần tương tự</w:t>
            </w:r>
          </w:p>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Ho</w:t>
            </w:r>
            <w:r w:rsidRPr="00BD2553">
              <w:rPr>
                <w:rFonts w:ascii="Times New Roman" w:eastAsia="Times New Roman" w:hAnsi="Times New Roman"/>
                <w:sz w:val="26"/>
                <w:szCs w:val="26"/>
              </w:rPr>
              <w:t>ặc xảy ra với xác suất 1/5000 lần thực hiện công việc.</w:t>
            </w:r>
          </w:p>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Ho</w:t>
            </w:r>
            <w:r w:rsidRPr="00BD2553">
              <w:rPr>
                <w:rFonts w:ascii="Times New Roman" w:eastAsia="Times New Roman" w:hAnsi="Times New Roman"/>
                <w:sz w:val="26"/>
                <w:szCs w:val="26"/>
              </w:rPr>
              <w:t>ặc xảy ra với xác suất 1/500 người thực hiện công việc.</w:t>
            </w:r>
          </w:p>
        </w:tc>
      </w:tr>
      <w:tr w:rsidR="00BD2553" w:rsidRPr="00BD2553" w:rsidTr="00BD2553">
        <w:trPr>
          <w:tblCellSpacing w:w="0" w:type="dxa"/>
        </w:trPr>
        <w:tc>
          <w:tcPr>
            <w:tcW w:w="9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Có th</w:t>
            </w:r>
            <w:r w:rsidRPr="00BD2553">
              <w:rPr>
                <w:rFonts w:ascii="Times New Roman" w:eastAsia="Times New Roman" w:hAnsi="Times New Roman"/>
                <w:sz w:val="26"/>
                <w:szCs w:val="26"/>
              </w:rPr>
              <w:t>ể xảy ra</w:t>
            </w:r>
          </w:p>
        </w:tc>
        <w:tc>
          <w:tcPr>
            <w:tcW w:w="13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M</w:t>
            </w:r>
            <w:r w:rsidRPr="00BD2553">
              <w:rPr>
                <w:rFonts w:ascii="Times New Roman" w:eastAsia="Times New Roman" w:hAnsi="Times New Roman"/>
                <w:sz w:val="26"/>
                <w:szCs w:val="26"/>
              </w:rPr>
              <w:t>ột lần trong 10 năm</w:t>
            </w:r>
          </w:p>
        </w:tc>
        <w:tc>
          <w:tcPr>
            <w:tcW w:w="27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Kh</w:t>
            </w:r>
            <w:r w:rsidRPr="00BD2553">
              <w:rPr>
                <w:rFonts w:ascii="Times New Roman" w:eastAsia="Times New Roman" w:hAnsi="Times New Roman"/>
                <w:sz w:val="26"/>
                <w:szCs w:val="26"/>
              </w:rPr>
              <w:t>ả năng đôi khi xảy ra trong vòng đời của một cá nhân hoặc hệ thống hoặc được trông đợi xảy ra một cách hợp lý trong đời với số lượng lớn các thành phần tương tự</w:t>
            </w:r>
          </w:p>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Ho</w:t>
            </w:r>
            <w:r w:rsidRPr="00BD2553">
              <w:rPr>
                <w:rFonts w:ascii="Times New Roman" w:eastAsia="Times New Roman" w:hAnsi="Times New Roman"/>
                <w:sz w:val="26"/>
                <w:szCs w:val="26"/>
              </w:rPr>
              <w:t>ặc xảy ra với xác suất 1/ 50 000 lần thực hiện công việc.</w:t>
            </w:r>
          </w:p>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Ho</w:t>
            </w:r>
            <w:r w:rsidRPr="00BD2553">
              <w:rPr>
                <w:rFonts w:ascii="Times New Roman" w:eastAsia="Times New Roman" w:hAnsi="Times New Roman"/>
                <w:sz w:val="26"/>
                <w:szCs w:val="26"/>
              </w:rPr>
              <w:t>ặc xảy ra với xác suất 1/5000 người thực hiện công việc.</w:t>
            </w:r>
          </w:p>
        </w:tc>
      </w:tr>
      <w:tr w:rsidR="00BD2553" w:rsidRPr="00BD2553" w:rsidTr="00BD2553">
        <w:trPr>
          <w:tblCellSpacing w:w="0" w:type="dxa"/>
        </w:trPr>
        <w:tc>
          <w:tcPr>
            <w:tcW w:w="9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lastRenderedPageBreak/>
              <w:t>Ít khi x</w:t>
            </w:r>
            <w:r w:rsidRPr="00BD2553">
              <w:rPr>
                <w:rFonts w:ascii="Times New Roman" w:eastAsia="Times New Roman" w:hAnsi="Times New Roman"/>
                <w:sz w:val="26"/>
                <w:szCs w:val="26"/>
              </w:rPr>
              <w:t>ảy ra</w:t>
            </w:r>
          </w:p>
        </w:tc>
        <w:tc>
          <w:tcPr>
            <w:tcW w:w="13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M</w:t>
            </w:r>
            <w:r w:rsidRPr="00BD2553">
              <w:rPr>
                <w:rFonts w:ascii="Times New Roman" w:eastAsia="Times New Roman" w:hAnsi="Times New Roman"/>
                <w:sz w:val="26"/>
                <w:szCs w:val="26"/>
              </w:rPr>
              <w:t>ột lần trong 15 năm</w:t>
            </w:r>
          </w:p>
        </w:tc>
        <w:tc>
          <w:tcPr>
            <w:tcW w:w="27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Đôi khi có th</w:t>
            </w:r>
            <w:r w:rsidRPr="00BD2553">
              <w:rPr>
                <w:rFonts w:ascii="Times New Roman" w:eastAsia="Times New Roman" w:hAnsi="Times New Roman"/>
                <w:sz w:val="26"/>
                <w:szCs w:val="26"/>
              </w:rPr>
              <w:t>ể xảy ra trong vòng đời của một cá nhân hoặc hệ thống hoặc trông đợi xảy ra một cách hợp lý trong đời của một số lớn các thành phần tương tự.</w:t>
            </w:r>
          </w:p>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Ho</w:t>
            </w:r>
            <w:r w:rsidRPr="00BD2553">
              <w:rPr>
                <w:rFonts w:ascii="Times New Roman" w:eastAsia="Times New Roman" w:hAnsi="Times New Roman"/>
                <w:sz w:val="26"/>
                <w:szCs w:val="26"/>
              </w:rPr>
              <w:t>ặc xảy ra với xác suất 1/100 000 lần thực hiện công việc.</w:t>
            </w:r>
          </w:p>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Ho</w:t>
            </w:r>
            <w:r w:rsidRPr="00BD2553">
              <w:rPr>
                <w:rFonts w:ascii="Times New Roman" w:eastAsia="Times New Roman" w:hAnsi="Times New Roman"/>
                <w:sz w:val="26"/>
                <w:szCs w:val="26"/>
              </w:rPr>
              <w:t>ặc xảy ra với xác suất 1/10 000 người thực hiện công việc.</w:t>
            </w:r>
          </w:p>
        </w:tc>
      </w:tr>
      <w:tr w:rsidR="00BD2553" w:rsidRPr="00BD2553" w:rsidTr="00BD2553">
        <w:trPr>
          <w:tblCellSpacing w:w="0" w:type="dxa"/>
        </w:trPr>
        <w:tc>
          <w:tcPr>
            <w:tcW w:w="90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Hi</w:t>
            </w:r>
            <w:r w:rsidRPr="00BD2553">
              <w:rPr>
                <w:rFonts w:ascii="Times New Roman" w:eastAsia="Times New Roman" w:hAnsi="Times New Roman"/>
                <w:sz w:val="26"/>
                <w:szCs w:val="26"/>
              </w:rPr>
              <w:t>ếm khi xảy ra</w:t>
            </w:r>
          </w:p>
        </w:tc>
        <w:tc>
          <w:tcPr>
            <w:tcW w:w="13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Không trông đ</w:t>
            </w:r>
            <w:r w:rsidRPr="00BD2553">
              <w:rPr>
                <w:rFonts w:ascii="Times New Roman" w:eastAsia="Times New Roman" w:hAnsi="Times New Roman"/>
                <w:sz w:val="26"/>
                <w:szCs w:val="26"/>
              </w:rPr>
              <w:t>ợi có thể xảy ra trong vòng đời của hoạt động</w:t>
            </w:r>
          </w:p>
        </w:tc>
        <w:tc>
          <w:tcPr>
            <w:tcW w:w="27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Không ch</w:t>
            </w:r>
            <w:r w:rsidRPr="00BD2553">
              <w:rPr>
                <w:rFonts w:ascii="Times New Roman" w:eastAsia="Times New Roman" w:hAnsi="Times New Roman"/>
                <w:sz w:val="26"/>
                <w:szCs w:val="26"/>
              </w:rPr>
              <w:t>ắc có thể xảy ra trong vòng đời của một cá thể hoặc hệ thống mà nó chỉ có thể bằng cách giả định chứ không phải bằng trải nghiệm. Hiếm khi xảy ra trong đời của một số lớn thành phần tương tự.</w:t>
            </w:r>
          </w:p>
        </w:tc>
      </w:tr>
    </w:tbl>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d) Đánh giá m</w:t>
      </w:r>
      <w:r w:rsidRPr="00BD2553">
        <w:rPr>
          <w:rFonts w:ascii="Times New Roman" w:eastAsia="Times New Roman" w:hAnsi="Times New Roman"/>
          <w:sz w:val="26"/>
          <w:szCs w:val="26"/>
        </w:rPr>
        <w:t>ức rủi ro dựa trên hậu quả và khả năng xảy ra. Lựa chọn ma trận rủi ro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Sau khi xác đ</w:t>
      </w:r>
      <w:r w:rsidRPr="00BD2553">
        <w:rPr>
          <w:rFonts w:ascii="Times New Roman" w:eastAsia="Times New Roman" w:hAnsi="Times New Roman"/>
          <w:sz w:val="26"/>
          <w:szCs w:val="26"/>
        </w:rPr>
        <w:t>ịnh các biện pháp kiểm soát mối nguy hiểm có sẵn, khả năng xảy ra và hậu quả của mối nguy hiểm, việc đánh giá mức độ rủi ro được thực hiện bằng cách sử dụng ma trận rủi ro.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M</w:t>
      </w:r>
      <w:r w:rsidRPr="00BD2553">
        <w:rPr>
          <w:rFonts w:ascii="Times New Roman" w:eastAsia="Times New Roman" w:hAnsi="Times New Roman"/>
          <w:sz w:val="26"/>
          <w:szCs w:val="26"/>
        </w:rPr>
        <w:t>ức rủi ro được phân loại thành thấp, trung bình và cao và tuỳ thuộc vào sự kết hợp giữa hậu quả và khả năng xảy ra.</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Ví d</w:t>
      </w:r>
      <w:r w:rsidRPr="00BD2553">
        <w:rPr>
          <w:rFonts w:ascii="Times New Roman" w:eastAsia="Times New Roman" w:hAnsi="Times New Roman"/>
          <w:b/>
          <w:bCs/>
          <w:sz w:val="26"/>
          <w:szCs w:val="26"/>
        </w:rPr>
        <w:t>ụ về ma trận xác định mức rủi ro 3x3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50"/>
        <w:gridCol w:w="2350"/>
        <w:gridCol w:w="2350"/>
        <w:gridCol w:w="2350"/>
      </w:tblGrid>
      <w:tr w:rsidR="00BD2553" w:rsidRPr="00BD2553" w:rsidTr="00BD2553">
        <w:trPr>
          <w:tblCellSpacing w:w="0" w:type="dxa"/>
        </w:trPr>
        <w:tc>
          <w:tcPr>
            <w:tcW w:w="1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right"/>
              <w:rPr>
                <w:rFonts w:ascii="Times New Roman" w:eastAsia="Times New Roman" w:hAnsi="Times New Roman"/>
                <w:sz w:val="26"/>
                <w:szCs w:val="26"/>
              </w:rPr>
            </w:pPr>
            <w:r w:rsidRPr="00BD2553">
              <w:rPr>
                <w:rFonts w:ascii="Times New Roman" w:eastAsia="Times New Roman" w:hAnsi="Times New Roman"/>
                <w:b/>
                <w:bCs/>
                <w:sz w:val="26"/>
                <w:szCs w:val="26"/>
                <w:lang w:val="en"/>
              </w:rPr>
              <w:t>Kh</w:t>
            </w:r>
            <w:r w:rsidRPr="00BD2553">
              <w:rPr>
                <w:rFonts w:ascii="Times New Roman" w:eastAsia="Times New Roman" w:hAnsi="Times New Roman"/>
                <w:b/>
                <w:bCs/>
                <w:sz w:val="26"/>
                <w:szCs w:val="26"/>
              </w:rPr>
              <w:t>ả năng </w:t>
            </w:r>
            <w:r w:rsidRPr="00BD2553">
              <w:rPr>
                <w:rFonts w:ascii="Times New Roman" w:eastAsia="Times New Roman" w:hAnsi="Times New Roman"/>
                <w:b/>
                <w:bCs/>
                <w:sz w:val="26"/>
                <w:szCs w:val="26"/>
                <w:lang w:val="en"/>
              </w:rPr>
              <w:t>x</w:t>
            </w:r>
            <w:r w:rsidRPr="00BD2553">
              <w:rPr>
                <w:rFonts w:ascii="Times New Roman" w:eastAsia="Times New Roman" w:hAnsi="Times New Roman"/>
                <w:b/>
                <w:bCs/>
                <w:sz w:val="26"/>
                <w:szCs w:val="26"/>
              </w:rPr>
              <w:t>ảy ra</w:t>
            </w:r>
          </w:p>
          <w:p w:rsidR="00BD2553" w:rsidRPr="00BD2553" w:rsidRDefault="00BD2553" w:rsidP="00BD2553">
            <w:pPr>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H</w:t>
            </w:r>
            <w:r w:rsidRPr="00BD2553">
              <w:rPr>
                <w:rFonts w:ascii="Times New Roman" w:eastAsia="Times New Roman" w:hAnsi="Times New Roman"/>
                <w:b/>
                <w:bCs/>
                <w:sz w:val="26"/>
                <w:szCs w:val="26"/>
              </w:rPr>
              <w:t>ậu quả</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Hi</w:t>
            </w:r>
            <w:r w:rsidRPr="00BD2553">
              <w:rPr>
                <w:rFonts w:ascii="Times New Roman" w:eastAsia="Times New Roman" w:hAnsi="Times New Roman"/>
                <w:b/>
                <w:bCs/>
                <w:sz w:val="26"/>
                <w:szCs w:val="26"/>
              </w:rPr>
              <w:t>ếm khi</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Th</w:t>
            </w:r>
            <w:r w:rsidRPr="00BD2553">
              <w:rPr>
                <w:rFonts w:ascii="Times New Roman" w:eastAsia="Times New Roman" w:hAnsi="Times New Roman"/>
                <w:b/>
                <w:bCs/>
                <w:sz w:val="26"/>
                <w:szCs w:val="26"/>
              </w:rPr>
              <w:t>ỉnh thoảng</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Thư</w:t>
            </w:r>
            <w:r w:rsidRPr="00BD2553">
              <w:rPr>
                <w:rFonts w:ascii="Times New Roman" w:eastAsia="Times New Roman" w:hAnsi="Times New Roman"/>
                <w:b/>
                <w:bCs/>
                <w:sz w:val="26"/>
                <w:szCs w:val="26"/>
              </w:rPr>
              <w:t>ờng xuyên</w:t>
            </w:r>
          </w:p>
        </w:tc>
      </w:tr>
      <w:tr w:rsidR="00BD2553" w:rsidRPr="00BD2553" w:rsidTr="00BD2553">
        <w:trPr>
          <w:tblCellSpacing w:w="0" w:type="dxa"/>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N</w:t>
            </w:r>
            <w:r w:rsidRPr="00BD2553">
              <w:rPr>
                <w:rFonts w:ascii="Times New Roman" w:eastAsia="Times New Roman" w:hAnsi="Times New Roman"/>
                <w:b/>
                <w:bCs/>
                <w:sz w:val="26"/>
                <w:szCs w:val="26"/>
              </w:rPr>
              <w:t>ặng</w:t>
            </w:r>
          </w:p>
        </w:tc>
        <w:tc>
          <w:tcPr>
            <w:tcW w:w="12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Trung bình</w:t>
            </w:r>
          </w:p>
        </w:tc>
        <w:tc>
          <w:tcPr>
            <w:tcW w:w="12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r>
      <w:tr w:rsidR="00BD2553" w:rsidRPr="00BD2553" w:rsidTr="00BD2553">
        <w:trPr>
          <w:tblCellSpacing w:w="0" w:type="dxa"/>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Trung bình</w:t>
            </w:r>
          </w:p>
        </w:tc>
        <w:tc>
          <w:tcPr>
            <w:tcW w:w="1250" w:type="pct"/>
            <w:tcBorders>
              <w:top w:val="nil"/>
              <w:left w:val="nil"/>
              <w:bottom w:val="single" w:sz="8" w:space="0" w:color="000000"/>
              <w:right w:val="single" w:sz="8" w:space="0" w:color="000000"/>
            </w:tcBorders>
            <w:shd w:val="clear" w:color="auto" w:fill="CCCCCC"/>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Th</w:t>
            </w:r>
            <w:r w:rsidRPr="00BD2553">
              <w:rPr>
                <w:rFonts w:ascii="Times New Roman" w:eastAsia="Times New Roman" w:hAnsi="Times New Roman"/>
                <w:sz w:val="26"/>
                <w:szCs w:val="26"/>
              </w:rPr>
              <w:t>ấp</w:t>
            </w:r>
          </w:p>
        </w:tc>
        <w:tc>
          <w:tcPr>
            <w:tcW w:w="12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Trung bình</w:t>
            </w:r>
          </w:p>
        </w:tc>
        <w:tc>
          <w:tcPr>
            <w:tcW w:w="12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r>
      <w:tr w:rsidR="00BD2553" w:rsidRPr="00BD2553" w:rsidTr="00BD2553">
        <w:trPr>
          <w:tblCellSpacing w:w="0" w:type="dxa"/>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Nh</w:t>
            </w:r>
            <w:r w:rsidRPr="00BD2553">
              <w:rPr>
                <w:rFonts w:ascii="Times New Roman" w:eastAsia="Times New Roman" w:hAnsi="Times New Roman"/>
                <w:b/>
                <w:bCs/>
                <w:sz w:val="26"/>
                <w:szCs w:val="26"/>
              </w:rPr>
              <w:t>ẹ</w:t>
            </w:r>
          </w:p>
        </w:tc>
        <w:tc>
          <w:tcPr>
            <w:tcW w:w="1250" w:type="pct"/>
            <w:tcBorders>
              <w:top w:val="nil"/>
              <w:left w:val="nil"/>
              <w:bottom w:val="single" w:sz="8" w:space="0" w:color="000000"/>
              <w:right w:val="single" w:sz="8" w:space="0" w:color="000000"/>
            </w:tcBorders>
            <w:shd w:val="clear" w:color="auto" w:fill="CCCCCC"/>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Th</w:t>
            </w:r>
            <w:r w:rsidRPr="00BD2553">
              <w:rPr>
                <w:rFonts w:ascii="Times New Roman" w:eastAsia="Times New Roman" w:hAnsi="Times New Roman"/>
                <w:sz w:val="26"/>
                <w:szCs w:val="26"/>
              </w:rPr>
              <w:t>ấp</w:t>
            </w:r>
          </w:p>
        </w:tc>
        <w:tc>
          <w:tcPr>
            <w:tcW w:w="1250" w:type="pct"/>
            <w:tcBorders>
              <w:top w:val="nil"/>
              <w:left w:val="nil"/>
              <w:bottom w:val="single" w:sz="8" w:space="0" w:color="000000"/>
              <w:right w:val="single" w:sz="8" w:space="0" w:color="000000"/>
            </w:tcBorders>
            <w:shd w:val="clear" w:color="auto" w:fill="CCCCCC"/>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Th</w:t>
            </w:r>
            <w:r w:rsidRPr="00BD2553">
              <w:rPr>
                <w:rFonts w:ascii="Times New Roman" w:eastAsia="Times New Roman" w:hAnsi="Times New Roman"/>
                <w:sz w:val="26"/>
                <w:szCs w:val="26"/>
              </w:rPr>
              <w:t>ấp</w:t>
            </w:r>
          </w:p>
        </w:tc>
        <w:tc>
          <w:tcPr>
            <w:tcW w:w="12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Trung bình</w:t>
            </w:r>
          </w:p>
        </w:tc>
      </w:tr>
    </w:tbl>
    <w:p w:rsidR="00BD2553" w:rsidRPr="00BD2553" w:rsidRDefault="00BD2553" w:rsidP="00BD2553">
      <w:pPr>
        <w:shd w:val="clear" w:color="auto" w:fill="FFFFFF"/>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Ví d</w:t>
      </w:r>
      <w:r w:rsidRPr="00BD2553">
        <w:rPr>
          <w:rFonts w:ascii="Times New Roman" w:eastAsia="Times New Roman" w:hAnsi="Times New Roman"/>
          <w:b/>
          <w:bCs/>
          <w:sz w:val="26"/>
          <w:szCs w:val="26"/>
        </w:rPr>
        <w:t>ụ ma trận xác định mức rủi ro 5x 5:</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Ma tr</w:t>
      </w:r>
      <w:r w:rsidRPr="00BD2553">
        <w:rPr>
          <w:rFonts w:ascii="Times New Roman" w:eastAsia="Times New Roman" w:hAnsi="Times New Roman"/>
          <w:sz w:val="26"/>
          <w:szCs w:val="26"/>
        </w:rPr>
        <w:t>ận đánh giá rủi ro được sử dụng để phân loại rủi ro trong đánh giá này được trình bày như trong hình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95"/>
        <w:gridCol w:w="1096"/>
        <w:gridCol w:w="996"/>
        <w:gridCol w:w="1095"/>
        <w:gridCol w:w="1095"/>
        <w:gridCol w:w="1095"/>
        <w:gridCol w:w="198"/>
        <w:gridCol w:w="498"/>
        <w:gridCol w:w="1792"/>
      </w:tblGrid>
      <w:tr w:rsidR="00BD2553" w:rsidRPr="00BD2553" w:rsidTr="00BD2553">
        <w:trPr>
          <w:tblCellSpacing w:w="0" w:type="dxa"/>
        </w:trPr>
        <w:tc>
          <w:tcPr>
            <w:tcW w:w="75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r w:rsidRPr="00BD2553">
              <w:rPr>
                <w:rFonts w:ascii="Times New Roman" w:eastAsia="Times New Roman" w:hAnsi="Times New Roman"/>
                <w:sz w:val="26"/>
                <w:szCs w:val="26"/>
                <w:lang w:val="en"/>
              </w:rPr>
              <w:br w:type="textWrapping" w:clear="all"/>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E</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D</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C</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B</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A</w:t>
            </w:r>
          </w:p>
        </w:tc>
        <w:tc>
          <w:tcPr>
            <w:tcW w:w="10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25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90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r>
      <w:tr w:rsidR="00BD2553" w:rsidRPr="00BD2553" w:rsidTr="00BD2553">
        <w:trPr>
          <w:tblCellSpacing w:w="0" w:type="dxa"/>
        </w:trPr>
        <w:tc>
          <w:tcPr>
            <w:tcW w:w="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G</w:t>
            </w:r>
            <w:r w:rsidRPr="00BD2553">
              <w:rPr>
                <w:rFonts w:ascii="Times New Roman" w:eastAsia="Times New Roman" w:hAnsi="Times New Roman"/>
                <w:b/>
                <w:bCs/>
                <w:sz w:val="26"/>
                <w:szCs w:val="26"/>
              </w:rPr>
              <w:t xml:space="preserve">ần như chắc chắn </w:t>
            </w:r>
            <w:r w:rsidRPr="00BD2553">
              <w:rPr>
                <w:rFonts w:ascii="Times New Roman" w:eastAsia="Times New Roman" w:hAnsi="Times New Roman"/>
                <w:b/>
                <w:bCs/>
                <w:sz w:val="26"/>
                <w:szCs w:val="26"/>
              </w:rPr>
              <w:lastRenderedPageBreak/>
              <w:t>(1)</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lastRenderedPageBreak/>
              <w:t>15</w:t>
            </w:r>
          </w:p>
        </w:tc>
        <w:tc>
          <w:tcPr>
            <w:tcW w:w="5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10</w:t>
            </w:r>
          </w:p>
        </w:tc>
        <w:tc>
          <w:tcPr>
            <w:tcW w:w="5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5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5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10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250" w:type="pct"/>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900" w:type="pct"/>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R</w:t>
            </w:r>
            <w:r w:rsidRPr="00BD2553">
              <w:rPr>
                <w:rFonts w:ascii="Times New Roman" w:eastAsia="Times New Roman" w:hAnsi="Times New Roman"/>
                <w:sz w:val="26"/>
                <w:szCs w:val="26"/>
              </w:rPr>
              <w:t>ủi ro cực cao</w:t>
            </w:r>
          </w:p>
        </w:tc>
      </w:tr>
      <w:tr w:rsidR="00BD2553" w:rsidRPr="00BD2553" w:rsidTr="00BD2553">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lastRenderedPageBreak/>
              <w:t>Có kh</w:t>
            </w:r>
            <w:r w:rsidRPr="00BD2553">
              <w:rPr>
                <w:rFonts w:ascii="Times New Roman" w:eastAsia="Times New Roman" w:hAnsi="Times New Roman"/>
                <w:b/>
                <w:bCs/>
                <w:sz w:val="26"/>
                <w:szCs w:val="26"/>
              </w:rPr>
              <w:t>ả năng xảy ra (2)</w:t>
            </w:r>
          </w:p>
        </w:tc>
        <w:tc>
          <w:tcPr>
            <w:tcW w:w="550" w:type="pct"/>
            <w:tcBorders>
              <w:top w:val="nil"/>
              <w:left w:val="nil"/>
              <w:bottom w:val="single" w:sz="8" w:space="0" w:color="000000"/>
              <w:right w:val="single" w:sz="8" w:space="0" w:color="000000"/>
            </w:tcBorders>
            <w:shd w:val="clear" w:color="auto" w:fill="D9D9D9"/>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19</w:t>
            </w:r>
          </w:p>
        </w:tc>
        <w:tc>
          <w:tcPr>
            <w:tcW w:w="5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14</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9</w:t>
            </w:r>
          </w:p>
        </w:tc>
        <w:tc>
          <w:tcPr>
            <w:tcW w:w="5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5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10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25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900" w:type="pct"/>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R</w:t>
            </w:r>
            <w:r w:rsidRPr="00BD2553">
              <w:rPr>
                <w:rFonts w:ascii="Times New Roman" w:eastAsia="Times New Roman" w:hAnsi="Times New Roman"/>
                <w:sz w:val="26"/>
                <w:szCs w:val="26"/>
              </w:rPr>
              <w:t>ủi ro cao</w:t>
            </w:r>
          </w:p>
        </w:tc>
      </w:tr>
      <w:tr w:rsidR="00BD2553" w:rsidRPr="00BD2553" w:rsidTr="00BD2553">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Có th</w:t>
            </w:r>
            <w:r w:rsidRPr="00BD2553">
              <w:rPr>
                <w:rFonts w:ascii="Times New Roman" w:eastAsia="Times New Roman" w:hAnsi="Times New Roman"/>
                <w:b/>
                <w:bCs/>
                <w:sz w:val="26"/>
                <w:szCs w:val="26"/>
              </w:rPr>
              <w:t>ể xảy ra (3)</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22</w:t>
            </w:r>
          </w:p>
        </w:tc>
        <w:tc>
          <w:tcPr>
            <w:tcW w:w="5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18</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13</w:t>
            </w:r>
          </w:p>
        </w:tc>
        <w:tc>
          <w:tcPr>
            <w:tcW w:w="5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5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10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25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900" w:type="pct"/>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R</w:t>
            </w:r>
            <w:r w:rsidRPr="00BD2553">
              <w:rPr>
                <w:rFonts w:ascii="Times New Roman" w:eastAsia="Times New Roman" w:hAnsi="Times New Roman"/>
                <w:sz w:val="26"/>
                <w:szCs w:val="26"/>
              </w:rPr>
              <w:t>ủi ro trung bình</w:t>
            </w:r>
          </w:p>
        </w:tc>
      </w:tr>
      <w:tr w:rsidR="00BD2553" w:rsidRPr="00BD2553" w:rsidTr="00BD2553">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Ít khi x</w:t>
            </w:r>
            <w:r w:rsidRPr="00BD2553">
              <w:rPr>
                <w:rFonts w:ascii="Times New Roman" w:eastAsia="Times New Roman" w:hAnsi="Times New Roman"/>
                <w:b/>
                <w:bCs/>
                <w:sz w:val="26"/>
                <w:szCs w:val="26"/>
              </w:rPr>
              <w:t>ảy ra (4)</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24</w:t>
            </w:r>
          </w:p>
        </w:tc>
        <w:tc>
          <w:tcPr>
            <w:tcW w:w="5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21</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17</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12</w:t>
            </w:r>
          </w:p>
        </w:tc>
        <w:tc>
          <w:tcPr>
            <w:tcW w:w="550" w:type="pct"/>
            <w:tcBorders>
              <w:top w:val="nil"/>
              <w:left w:val="nil"/>
              <w:bottom w:val="single" w:sz="8" w:space="0" w:color="000000"/>
              <w:right w:val="single" w:sz="8" w:space="0" w:color="000000"/>
            </w:tcBorders>
            <w:shd w:val="clear" w:color="auto" w:fill="000000"/>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10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25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900" w:type="pct"/>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R</w:t>
            </w:r>
            <w:r w:rsidRPr="00BD2553">
              <w:rPr>
                <w:rFonts w:ascii="Times New Roman" w:eastAsia="Times New Roman" w:hAnsi="Times New Roman"/>
                <w:sz w:val="26"/>
                <w:szCs w:val="26"/>
              </w:rPr>
              <w:t>ủi ro thấp</w:t>
            </w:r>
          </w:p>
        </w:tc>
      </w:tr>
      <w:tr w:rsidR="00BD2553" w:rsidRPr="00BD2553" w:rsidTr="00BD2553">
        <w:trPr>
          <w:tblCellSpacing w:w="0" w:type="dxa"/>
        </w:trPr>
        <w:tc>
          <w:tcPr>
            <w:tcW w:w="750" w:type="pct"/>
            <w:tcBorders>
              <w:top w:val="nil"/>
              <w:left w:val="single" w:sz="8" w:space="0" w:color="000000"/>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b/>
                <w:bCs/>
                <w:sz w:val="26"/>
                <w:szCs w:val="26"/>
                <w:lang w:val="en"/>
              </w:rPr>
              <w:t>Hi</w:t>
            </w:r>
            <w:r w:rsidRPr="00BD2553">
              <w:rPr>
                <w:rFonts w:ascii="Times New Roman" w:eastAsia="Times New Roman" w:hAnsi="Times New Roman"/>
                <w:b/>
                <w:bCs/>
                <w:sz w:val="26"/>
                <w:szCs w:val="26"/>
              </w:rPr>
              <w:t>ếm khi xảy ra (5)</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25</w:t>
            </w:r>
          </w:p>
        </w:tc>
        <w:tc>
          <w:tcPr>
            <w:tcW w:w="50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23</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20</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16</w:t>
            </w:r>
          </w:p>
        </w:tc>
        <w:tc>
          <w:tcPr>
            <w:tcW w:w="550" w:type="pct"/>
            <w:tcBorders>
              <w:top w:val="nil"/>
              <w:left w:val="nil"/>
              <w:bottom w:val="single" w:sz="8" w:space="0" w:color="000000"/>
              <w:right w:val="single" w:sz="8" w:space="0" w:color="000000"/>
            </w:tcBorders>
            <w:shd w:val="clear" w:color="auto" w:fill="FFFFFF"/>
            <w:vAlign w:val="center"/>
            <w:hideMark/>
          </w:tcPr>
          <w:p w:rsidR="00BD2553" w:rsidRPr="00BD2553" w:rsidRDefault="00BD2553" w:rsidP="00BD2553">
            <w:pPr>
              <w:spacing w:before="120" w:after="120" w:line="234" w:lineRule="atLeast"/>
              <w:jc w:val="center"/>
              <w:rPr>
                <w:rFonts w:ascii="Times New Roman" w:eastAsia="Times New Roman" w:hAnsi="Times New Roman"/>
                <w:sz w:val="26"/>
                <w:szCs w:val="26"/>
              </w:rPr>
            </w:pPr>
            <w:r w:rsidRPr="00BD2553">
              <w:rPr>
                <w:rFonts w:ascii="Times New Roman" w:eastAsia="Times New Roman" w:hAnsi="Times New Roman"/>
                <w:sz w:val="26"/>
                <w:szCs w:val="26"/>
                <w:lang w:val="en"/>
              </w:rPr>
              <w:t>11</w:t>
            </w:r>
          </w:p>
        </w:tc>
        <w:tc>
          <w:tcPr>
            <w:tcW w:w="10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25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c>
          <w:tcPr>
            <w:tcW w:w="900" w:type="pct"/>
            <w:shd w:val="clear" w:color="auto" w:fill="FFFFFF"/>
            <w:vAlign w:val="center"/>
            <w:hideMark/>
          </w:tcPr>
          <w:p w:rsidR="00BD2553" w:rsidRPr="00BD2553" w:rsidRDefault="00BD2553" w:rsidP="00BD2553">
            <w:pPr>
              <w:spacing w:after="0" w:line="240" w:lineRule="auto"/>
              <w:rPr>
                <w:rFonts w:ascii="Times New Roman" w:eastAsia="Times New Roman" w:hAnsi="Times New Roman"/>
                <w:sz w:val="26"/>
                <w:szCs w:val="26"/>
              </w:rPr>
            </w:pPr>
          </w:p>
        </w:tc>
      </w:tr>
    </w:tbl>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 Vùng màu xanh (t</w:t>
      </w:r>
      <w:r w:rsidRPr="00BD2553">
        <w:rPr>
          <w:rFonts w:ascii="Times New Roman" w:eastAsia="Times New Roman" w:hAnsi="Times New Roman"/>
          <w:sz w:val="26"/>
          <w:szCs w:val="26"/>
        </w:rPr>
        <w:t>ừ 21 đến 25) là vùng rủi ro thấp - chấp nhận rộng rãi. Nếu rủi ro ước tính vào vùng này, các biện pháp giảm rủi ro hiện hữu đã đầy đủ, cho phép tiếp tục hoạt động và không cần phải đưa ra bất kỳ biện pháp bổ sung nào;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 Vùng màu xanh (t</w:t>
      </w:r>
      <w:r w:rsidRPr="00BD2553">
        <w:rPr>
          <w:rFonts w:ascii="Times New Roman" w:eastAsia="Times New Roman" w:hAnsi="Times New Roman"/>
          <w:sz w:val="26"/>
          <w:szCs w:val="26"/>
        </w:rPr>
        <w:t>ừ 17 đến 20) là vùng rủi ro trung bình - chấp nhận được. Nếu rủi ro ước tính vào vùng này, các biện pháp giảm rủi ro hiện hữu đã đầy đủ, cho phép tiếp tục hoạt động và không cần phải đưa ra bất kỳ biện pháp bổ sung nào;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 Vùng màu vàng (t</w:t>
      </w:r>
      <w:r w:rsidRPr="00BD2553">
        <w:rPr>
          <w:rFonts w:ascii="Times New Roman" w:eastAsia="Times New Roman" w:hAnsi="Times New Roman"/>
          <w:sz w:val="26"/>
          <w:szCs w:val="26"/>
        </w:rPr>
        <w:t>ừ 9 đến 16) là vùng rủi ro phải được giảm thiểu xuống mức thấp nhất phù hợp thực tế. Nếu rủi ro ước tính vào vùng này cần cân nhắc giảm rủi ro tới một mức mà nếu áp dụng thêm các biện pháp giảm rủi ro thì sẽ không hiệu quả hoặc thiếu thực tế;</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 Vùng màu đ</w:t>
      </w:r>
      <w:r w:rsidRPr="00BD2553">
        <w:rPr>
          <w:rFonts w:ascii="Times New Roman" w:eastAsia="Times New Roman" w:hAnsi="Times New Roman"/>
          <w:sz w:val="26"/>
          <w:szCs w:val="26"/>
        </w:rPr>
        <w:t>ỏ (từ 1 đến 8) là vùng rủi ro cao - không chấp nhận được. Nếu rủi ro ước tính vào vùng này thì phải dừng hoạt động và áp dụng bổ sung các biện pháp để giảm thiểu rủi ro.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7. Gi</w:t>
      </w:r>
      <w:r w:rsidRPr="00BD2553">
        <w:rPr>
          <w:rFonts w:ascii="Times New Roman" w:eastAsia="Times New Roman" w:hAnsi="Times New Roman"/>
          <w:b/>
          <w:bCs/>
          <w:sz w:val="26"/>
          <w:szCs w:val="26"/>
        </w:rPr>
        <w:t>ải pháp kiểm soát rủi ro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Các bi</w:t>
      </w:r>
      <w:r w:rsidRPr="00BD2553">
        <w:rPr>
          <w:rFonts w:ascii="Times New Roman" w:eastAsia="Times New Roman" w:hAnsi="Times New Roman"/>
          <w:sz w:val="26"/>
          <w:szCs w:val="26"/>
        </w:rPr>
        <w:t>ện pháp kiểm soát rủi ro phải được bắt đầu với mục tiêu loại trừ hoàn toàn rủi ro. Nếu điều này không thể đạt được, thì quá trình giảm thiểu phải được thực hiện theo một thứ tự quy định nhằm giảm thiểu rủi ro tới mức độ thấp nhất có thể được trong thực tế (ALARP) hoặc mức độ có thể chấp nhận được. Các biện pháp kiểm soát được xem xét theo thứ tự ưu tiên bao gồm:</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a) Lo</w:t>
      </w:r>
      <w:r w:rsidRPr="00BD2553">
        <w:rPr>
          <w:rFonts w:ascii="Times New Roman" w:eastAsia="Times New Roman" w:hAnsi="Times New Roman"/>
          <w:sz w:val="26"/>
          <w:szCs w:val="26"/>
        </w:rPr>
        <w:t>ại bỏ từ nguồn;</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b) Thay th</w:t>
      </w:r>
      <w:r w:rsidRPr="00BD2553">
        <w:rPr>
          <w:rFonts w:ascii="Times New Roman" w:eastAsia="Times New Roman" w:hAnsi="Times New Roman"/>
          <w:sz w:val="26"/>
          <w:szCs w:val="26"/>
        </w:rPr>
        <w:t>ế;</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c) Gi</w:t>
      </w:r>
      <w:r w:rsidRPr="00BD2553">
        <w:rPr>
          <w:rFonts w:ascii="Times New Roman" w:eastAsia="Times New Roman" w:hAnsi="Times New Roman"/>
          <w:sz w:val="26"/>
          <w:szCs w:val="26"/>
        </w:rPr>
        <w:t>ảm thiểu rủi ro;</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d) Ki</w:t>
      </w:r>
      <w:r w:rsidRPr="00BD2553">
        <w:rPr>
          <w:rFonts w:ascii="Times New Roman" w:eastAsia="Times New Roman" w:hAnsi="Times New Roman"/>
          <w:sz w:val="26"/>
          <w:szCs w:val="26"/>
        </w:rPr>
        <w:t>ểm soát có quy trình và năng lực nhân viên;</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đ) Ki</w:t>
      </w:r>
      <w:r w:rsidRPr="00BD2553">
        <w:rPr>
          <w:rFonts w:ascii="Times New Roman" w:eastAsia="Times New Roman" w:hAnsi="Times New Roman"/>
          <w:sz w:val="26"/>
          <w:szCs w:val="26"/>
        </w:rPr>
        <w:t>ểm soát hành chính;</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sz w:val="26"/>
          <w:szCs w:val="26"/>
          <w:lang w:val="en"/>
        </w:rPr>
        <w:t>e) K</w:t>
      </w:r>
      <w:r w:rsidRPr="00BD2553">
        <w:rPr>
          <w:rFonts w:ascii="Times New Roman" w:eastAsia="Times New Roman" w:hAnsi="Times New Roman"/>
          <w:sz w:val="26"/>
          <w:szCs w:val="26"/>
        </w:rPr>
        <w:t>ế hoạch và năng lực ứng phó tình huống khẩn cấp, biện pháp kiểm soát khi có sự cố.</w:t>
      </w:r>
    </w:p>
    <w:p w:rsidR="00BD2553" w:rsidRPr="00BD2553" w:rsidRDefault="00BD2553" w:rsidP="00BD2553">
      <w:pPr>
        <w:shd w:val="clear" w:color="auto" w:fill="FFFFFF"/>
        <w:spacing w:before="120" w:after="120" w:line="234" w:lineRule="atLeast"/>
        <w:rPr>
          <w:rFonts w:ascii="Times New Roman" w:eastAsia="Times New Roman" w:hAnsi="Times New Roman"/>
          <w:sz w:val="26"/>
          <w:szCs w:val="26"/>
        </w:rPr>
      </w:pPr>
      <w:r w:rsidRPr="00BD2553">
        <w:rPr>
          <w:rFonts w:ascii="Times New Roman" w:eastAsia="Times New Roman" w:hAnsi="Times New Roman"/>
          <w:b/>
          <w:bCs/>
          <w:sz w:val="26"/>
          <w:szCs w:val="26"/>
          <w:lang w:val="en"/>
        </w:rPr>
        <w:t>8. K</w:t>
      </w:r>
      <w:r w:rsidRPr="00BD2553">
        <w:rPr>
          <w:rFonts w:ascii="Times New Roman" w:eastAsia="Times New Roman" w:hAnsi="Times New Roman"/>
          <w:b/>
          <w:bCs/>
          <w:sz w:val="26"/>
          <w:szCs w:val="26"/>
        </w:rPr>
        <w:t>ết luận và kiến nghị</w:t>
      </w:r>
    </w:p>
    <w:p w:rsidR="00944D37" w:rsidRPr="00BD2553" w:rsidRDefault="00944D37">
      <w:pPr>
        <w:rPr>
          <w:rFonts w:ascii="Times New Roman" w:hAnsi="Times New Roman"/>
          <w:sz w:val="26"/>
          <w:szCs w:val="26"/>
        </w:rPr>
      </w:pPr>
    </w:p>
    <w:sectPr w:rsidR="00944D37" w:rsidRPr="00BD25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53"/>
    <w:rsid w:val="00055819"/>
    <w:rsid w:val="0034222E"/>
    <w:rsid w:val="003D1154"/>
    <w:rsid w:val="004F7A39"/>
    <w:rsid w:val="00583230"/>
    <w:rsid w:val="005A5DD7"/>
    <w:rsid w:val="00670002"/>
    <w:rsid w:val="006F7B69"/>
    <w:rsid w:val="007F6B79"/>
    <w:rsid w:val="00944D37"/>
    <w:rsid w:val="00BD2553"/>
    <w:rsid w:val="00C65B39"/>
    <w:rsid w:val="00CA10B8"/>
    <w:rsid w:val="00D74E04"/>
    <w:rsid w:val="00EE22AD"/>
    <w:rsid w:val="00FA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FDAE7-6774-469C-BEBB-3E407778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55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Thao</dc:creator>
  <cp:keywords/>
  <dc:description/>
  <cp:lastModifiedBy>DELL</cp:lastModifiedBy>
  <cp:revision>2</cp:revision>
  <dcterms:created xsi:type="dcterms:W3CDTF">2024-11-27T03:40:00Z</dcterms:created>
  <dcterms:modified xsi:type="dcterms:W3CDTF">2024-11-27T03:40:00Z</dcterms:modified>
</cp:coreProperties>
</file>